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insoku w:val="0"/>
        <w:overflowPunct w:val="0"/>
        <w:spacing w:before="212" w:line="360" w:lineRule="auto"/>
        <w:ind w:left="102" w:firstLine="620" w:firstLineChars="194"/>
        <w:jc w:val="both"/>
        <w:rPr>
          <w:rFonts w:ascii="仿宋" w:hAnsi="仿宋" w:eastAsia="仿宋" w:cs="仿宋"/>
          <w:sz w:val="32"/>
        </w:rPr>
      </w:pPr>
      <w:bookmarkStart w:id="3" w:name="_GoBack"/>
      <w:bookmarkEnd w:id="3"/>
      <w:bookmarkStart w:id="0" w:name="OLE_LINK1"/>
      <w:r>
        <w:rPr>
          <w:rFonts w:hint="eastAsia" w:ascii="仿宋" w:hAnsi="仿宋" w:eastAsia="仿宋" w:cs="仿宋"/>
          <w:sz w:val="32"/>
        </w:rPr>
        <w:t>根据学校《关于推荐2021年优秀应届本科毕业生免试攻读研究生的通知》（西建大﹝2020﹞38号），依据《西安建筑科技大学推荐优秀应届本科毕业生免试攻读研究生工作实施办法（修订）》（西建大﹝2015﹞136号），管理学院本着公开、公正、透明的选拔原则，依据推免条件、选拔原则及工作程序的要求和规定，采取学生自愿申请，学院审核，择优推荐的程序，特制定本办法：</w:t>
      </w:r>
    </w:p>
    <w:p>
      <w:pPr>
        <w:autoSpaceDE/>
        <w:autoSpaceDN/>
        <w:spacing w:line="360" w:lineRule="auto"/>
        <w:ind w:firstLine="643" w:firstLineChars="200"/>
        <w:textAlignment w:val="baseline"/>
        <w:rPr>
          <w:rFonts w:ascii="黑体" w:hAnsi="黑体" w:eastAsia="黑体"/>
          <w:b/>
          <w:sz w:val="32"/>
          <w:szCs w:val="24"/>
        </w:rPr>
      </w:pPr>
      <w:r>
        <w:rPr>
          <w:rFonts w:hint="eastAsia" w:ascii="黑体" w:hAnsi="黑体" w:eastAsia="黑体"/>
          <w:b/>
          <w:sz w:val="32"/>
          <w:szCs w:val="24"/>
        </w:rPr>
        <w:t>一、推荐工作小组</w:t>
      </w:r>
    </w:p>
    <w:p>
      <w:pPr>
        <w:pStyle w:val="3"/>
        <w:kinsoku w:val="0"/>
        <w:overflowPunct w:val="0"/>
        <w:spacing w:before="0" w:line="360" w:lineRule="auto"/>
        <w:ind w:left="102" w:firstLine="620" w:firstLineChars="194"/>
        <w:jc w:val="both"/>
        <w:rPr>
          <w:rFonts w:ascii="仿宋" w:hAnsi="仿宋" w:eastAsia="仿宋" w:cs="仿宋"/>
          <w:sz w:val="32"/>
        </w:rPr>
      </w:pPr>
      <w:r>
        <w:rPr>
          <w:rFonts w:hint="eastAsia" w:ascii="仿宋" w:hAnsi="仿宋" w:eastAsia="仿宋" w:cs="仿宋"/>
          <w:sz w:val="32"/>
        </w:rPr>
        <w:t>学院成立推免工作小组，负责制定本单位推免工作实施方案，接受及处理推免过程中学生的申诉等工作。推免工作小组组成：</w:t>
      </w:r>
    </w:p>
    <w:p>
      <w:pPr>
        <w:pStyle w:val="3"/>
        <w:kinsoku w:val="0"/>
        <w:overflowPunct w:val="0"/>
        <w:spacing w:before="0" w:line="360" w:lineRule="auto"/>
        <w:ind w:left="102" w:firstLine="620" w:firstLineChars="194"/>
        <w:jc w:val="both"/>
        <w:rPr>
          <w:rFonts w:ascii="仿宋" w:hAnsi="仿宋" w:eastAsia="仿宋" w:cs="仿宋"/>
          <w:sz w:val="32"/>
        </w:rPr>
      </w:pPr>
      <w:r>
        <w:rPr>
          <w:rFonts w:hint="eastAsia" w:ascii="仿宋" w:hAnsi="仿宋" w:eastAsia="仿宋" w:cs="仿宋"/>
          <w:sz w:val="32"/>
        </w:rPr>
        <w:t>组  长：王成军 陈向阳</w:t>
      </w:r>
    </w:p>
    <w:p>
      <w:pPr>
        <w:pStyle w:val="3"/>
        <w:kinsoku w:val="0"/>
        <w:overflowPunct w:val="0"/>
        <w:spacing w:before="0" w:line="360" w:lineRule="auto"/>
        <w:ind w:left="102" w:firstLine="620" w:firstLineChars="194"/>
        <w:jc w:val="both"/>
        <w:rPr>
          <w:rFonts w:ascii="仿宋" w:hAnsi="仿宋" w:eastAsia="仿宋" w:cs="仿宋"/>
          <w:sz w:val="32"/>
        </w:rPr>
      </w:pPr>
      <w:r>
        <w:rPr>
          <w:rFonts w:hint="eastAsia" w:ascii="仿宋" w:hAnsi="仿宋" w:eastAsia="仿宋" w:cs="仿宋"/>
          <w:sz w:val="32"/>
        </w:rPr>
        <w:t xml:space="preserve">副组长：张新生 蒋小侠 </w:t>
      </w:r>
    </w:p>
    <w:p>
      <w:pPr>
        <w:pStyle w:val="3"/>
        <w:kinsoku w:val="0"/>
        <w:overflowPunct w:val="0"/>
        <w:spacing w:before="0" w:line="360" w:lineRule="auto"/>
        <w:ind w:left="102" w:firstLine="620" w:firstLineChars="194"/>
        <w:jc w:val="both"/>
        <w:rPr>
          <w:rFonts w:ascii="仿宋" w:hAnsi="仿宋" w:eastAsia="仿宋" w:cs="仿宋"/>
          <w:sz w:val="32"/>
        </w:rPr>
      </w:pPr>
      <w:r>
        <w:rPr>
          <w:rFonts w:hint="eastAsia" w:ascii="仿宋" w:hAnsi="仿宋" w:eastAsia="仿宋" w:cs="仿宋"/>
          <w:sz w:val="32"/>
        </w:rPr>
        <w:t xml:space="preserve">成  员：刘天利 张 </w:t>
      </w:r>
      <w:r>
        <w:rPr>
          <w:rFonts w:ascii="仿宋" w:hAnsi="仿宋" w:eastAsia="仿宋" w:cs="仿宋"/>
          <w:sz w:val="32"/>
        </w:rPr>
        <w:t xml:space="preserve"> </w:t>
      </w:r>
      <w:r>
        <w:rPr>
          <w:rFonts w:hint="eastAsia" w:ascii="仿宋" w:hAnsi="仿宋" w:eastAsia="仿宋" w:cs="仿宋"/>
          <w:sz w:val="32"/>
        </w:rPr>
        <w:t xml:space="preserve">炜 杨 </w:t>
      </w:r>
      <w:r>
        <w:rPr>
          <w:rFonts w:ascii="仿宋" w:hAnsi="仿宋" w:eastAsia="仿宋" w:cs="仿宋"/>
          <w:sz w:val="32"/>
        </w:rPr>
        <w:t xml:space="preserve"> </w:t>
      </w:r>
      <w:r>
        <w:rPr>
          <w:rFonts w:hint="eastAsia" w:ascii="仿宋" w:hAnsi="仿宋" w:eastAsia="仿宋" w:cs="仿宋"/>
          <w:sz w:val="32"/>
        </w:rPr>
        <w:t xml:space="preserve">杨 张志霞 </w:t>
      </w:r>
    </w:p>
    <w:p>
      <w:pPr>
        <w:pStyle w:val="3"/>
        <w:kinsoku w:val="0"/>
        <w:overflowPunct w:val="0"/>
        <w:spacing w:before="0" w:line="360" w:lineRule="auto"/>
        <w:ind w:left="102" w:firstLine="1900" w:firstLineChars="594"/>
        <w:jc w:val="both"/>
        <w:rPr>
          <w:rFonts w:ascii="仿宋" w:hAnsi="仿宋" w:eastAsia="仿宋" w:cs="仿宋"/>
          <w:sz w:val="32"/>
        </w:rPr>
      </w:pPr>
      <w:r>
        <w:rPr>
          <w:rFonts w:hint="eastAsia" w:ascii="仿宋" w:hAnsi="仿宋" w:eastAsia="仿宋" w:cs="仿宋"/>
          <w:sz w:val="32"/>
        </w:rPr>
        <w:t xml:space="preserve">郑彦全 周 </w:t>
      </w:r>
      <w:r>
        <w:rPr>
          <w:rFonts w:ascii="仿宋" w:hAnsi="仿宋" w:eastAsia="仿宋" w:cs="仿宋"/>
          <w:sz w:val="32"/>
        </w:rPr>
        <w:t xml:space="preserve"> </w:t>
      </w:r>
      <w:r>
        <w:rPr>
          <w:rFonts w:hint="eastAsia" w:ascii="仿宋" w:hAnsi="仿宋" w:eastAsia="仿宋" w:cs="仿宋"/>
          <w:sz w:val="32"/>
        </w:rPr>
        <w:t>琳 徐晓飞 刘桐源</w:t>
      </w:r>
    </w:p>
    <w:p>
      <w:pPr>
        <w:autoSpaceDE/>
        <w:autoSpaceDN/>
        <w:spacing w:line="360" w:lineRule="auto"/>
        <w:ind w:firstLine="643" w:firstLineChars="200"/>
        <w:textAlignment w:val="baseline"/>
        <w:rPr>
          <w:rFonts w:ascii="黑体" w:hAnsi="黑体" w:eastAsia="黑体"/>
          <w:b/>
          <w:sz w:val="32"/>
          <w:szCs w:val="24"/>
        </w:rPr>
      </w:pPr>
      <w:r>
        <w:rPr>
          <w:rFonts w:hint="eastAsia" w:ascii="黑体" w:hAnsi="黑体" w:eastAsia="黑体"/>
          <w:b/>
          <w:sz w:val="32"/>
          <w:szCs w:val="24"/>
        </w:rPr>
        <w:t>二、推免名额及类型</w:t>
      </w:r>
    </w:p>
    <w:p>
      <w:pPr>
        <w:pStyle w:val="3"/>
        <w:kinsoku w:val="0"/>
        <w:overflowPunct w:val="0"/>
        <w:spacing w:before="0" w:line="360" w:lineRule="auto"/>
        <w:ind w:left="102" w:firstLine="620" w:firstLineChars="194"/>
        <w:jc w:val="both"/>
        <w:rPr>
          <w:rFonts w:ascii="仿宋" w:hAnsi="仿宋" w:eastAsia="仿宋" w:cs="仿宋"/>
          <w:sz w:val="32"/>
        </w:rPr>
      </w:pPr>
      <w:r>
        <w:rPr>
          <w:rFonts w:hint="eastAsia" w:ascii="仿宋" w:hAnsi="仿宋" w:eastAsia="仿宋" w:cs="仿宋"/>
          <w:sz w:val="32"/>
        </w:rPr>
        <w:t>1、推免名额可参照往年对应专业推免名额，最终推免名额以学校下达为准（预计在下学期开学初下达）。</w:t>
      </w:r>
    </w:p>
    <w:p>
      <w:pPr>
        <w:pStyle w:val="3"/>
        <w:kinsoku w:val="0"/>
        <w:overflowPunct w:val="0"/>
        <w:spacing w:before="0" w:line="360" w:lineRule="auto"/>
        <w:ind w:left="102" w:firstLine="620" w:firstLineChars="194"/>
        <w:jc w:val="both"/>
        <w:rPr>
          <w:rFonts w:ascii="仿宋" w:hAnsi="仿宋" w:eastAsia="仿宋" w:cs="仿宋"/>
          <w:sz w:val="32"/>
        </w:rPr>
      </w:pPr>
      <w:r>
        <w:rPr>
          <w:rFonts w:hint="eastAsia" w:ascii="仿宋" w:hAnsi="仿宋" w:eastAsia="仿宋" w:cs="仿宋"/>
          <w:sz w:val="32"/>
        </w:rPr>
        <w:t>2、推免生类型包括：正常类型推免、直博生推免、破格推荐、本硕一体化推免。</w:t>
      </w:r>
    </w:p>
    <w:p>
      <w:pPr>
        <w:autoSpaceDE/>
        <w:autoSpaceDN/>
        <w:spacing w:line="360" w:lineRule="auto"/>
        <w:ind w:firstLine="643" w:firstLineChars="200"/>
        <w:textAlignment w:val="baseline"/>
        <w:rPr>
          <w:rFonts w:ascii="黑体" w:hAnsi="黑体" w:eastAsia="黑体"/>
          <w:b/>
          <w:sz w:val="32"/>
          <w:szCs w:val="24"/>
        </w:rPr>
      </w:pPr>
      <w:r>
        <w:rPr>
          <w:rFonts w:hint="eastAsia" w:ascii="黑体" w:hAnsi="黑体" w:eastAsia="黑体"/>
          <w:b/>
          <w:sz w:val="32"/>
          <w:szCs w:val="24"/>
        </w:rPr>
        <w:t>三、推免生遴选推荐条件及审核标准</w:t>
      </w:r>
    </w:p>
    <w:p>
      <w:pPr>
        <w:pStyle w:val="3"/>
        <w:kinsoku w:val="0"/>
        <w:overflowPunct w:val="0"/>
        <w:spacing w:before="0" w:line="360" w:lineRule="auto"/>
        <w:ind w:left="102" w:firstLine="620" w:firstLineChars="194"/>
        <w:jc w:val="both"/>
        <w:rPr>
          <w:rFonts w:ascii="仿宋" w:hAnsi="仿宋" w:eastAsia="仿宋" w:cs="仿宋"/>
          <w:sz w:val="32"/>
        </w:rPr>
      </w:pPr>
      <w:r>
        <w:rPr>
          <w:rFonts w:hint="eastAsia" w:ascii="仿宋" w:hAnsi="仿宋" w:eastAsia="仿宋" w:cs="仿宋"/>
          <w:sz w:val="32"/>
        </w:rPr>
        <w:t>符合《西安建筑科技大学推荐优秀应届本科毕业生免试攻读研究生工作实施办法（修订）》（西建大﹝2015﹞136号），以及《关于推荐2021年优秀应届本科毕业生免试攻读研究生的通知》（西建大﹝2020﹞38号）等文件中规定的遴选推荐条件和审核标准进行推免生资格审核、遴选和推荐。</w:t>
      </w:r>
    </w:p>
    <w:p>
      <w:pPr>
        <w:spacing w:line="360" w:lineRule="auto"/>
        <w:ind w:firstLine="643"/>
        <w:rPr>
          <w:rFonts w:ascii="仿宋" w:hAnsi="仿宋" w:eastAsia="仿宋" w:cs="仿宋"/>
          <w:sz w:val="32"/>
        </w:rPr>
      </w:pPr>
      <w:r>
        <w:rPr>
          <w:rFonts w:hint="eastAsia" w:ascii="仿宋" w:hAnsi="仿宋" w:eastAsia="仿宋" w:cs="仿宋"/>
          <w:sz w:val="32"/>
          <w:szCs w:val="24"/>
        </w:rPr>
        <w:t>同等条件下，有文艺、体育等特长，参加学校国际交流项目、校际联合人才培养，或留本校攻读研究生的学生优先推荐。除正常类型推免外，其他类型推免生须在本校免试攻读研究生，否则将取消推免资格，并将失信行为记入个人电子学籍档案。</w:t>
      </w:r>
    </w:p>
    <w:p>
      <w:pPr>
        <w:autoSpaceDE/>
        <w:autoSpaceDN/>
        <w:spacing w:line="360" w:lineRule="auto"/>
        <w:ind w:firstLine="643" w:firstLineChars="200"/>
        <w:textAlignment w:val="baseline"/>
        <w:rPr>
          <w:rFonts w:ascii="黑体" w:hAnsi="黑体" w:eastAsia="黑体"/>
          <w:b/>
          <w:sz w:val="32"/>
          <w:szCs w:val="24"/>
        </w:rPr>
      </w:pPr>
      <w:r>
        <w:rPr>
          <w:rFonts w:hint="eastAsia" w:ascii="黑体" w:hAnsi="黑体" w:eastAsia="黑体"/>
          <w:b/>
          <w:sz w:val="32"/>
          <w:szCs w:val="24"/>
        </w:rPr>
        <w:t>四、推荐工作程序</w:t>
      </w:r>
    </w:p>
    <w:p>
      <w:pPr>
        <w:pStyle w:val="3"/>
        <w:kinsoku w:val="0"/>
        <w:overflowPunct w:val="0"/>
        <w:spacing w:before="0" w:line="360" w:lineRule="auto"/>
        <w:ind w:left="102" w:firstLine="620" w:firstLineChars="194"/>
        <w:jc w:val="both"/>
        <w:rPr>
          <w:rFonts w:ascii="仿宋" w:hAnsi="仿宋" w:eastAsia="仿宋" w:cs="仿宋"/>
          <w:sz w:val="32"/>
        </w:rPr>
      </w:pPr>
      <w:r>
        <w:rPr>
          <w:rFonts w:hint="eastAsia" w:ascii="仿宋" w:hAnsi="仿宋" w:eastAsia="仿宋" w:cs="仿宋"/>
          <w:sz w:val="32"/>
        </w:rPr>
        <w:t>1、下达推免生名额（待学校分配推免名额后另行公布）。</w:t>
      </w:r>
    </w:p>
    <w:p>
      <w:pPr>
        <w:pStyle w:val="3"/>
        <w:kinsoku w:val="0"/>
        <w:overflowPunct w:val="0"/>
        <w:spacing w:before="0" w:line="360" w:lineRule="auto"/>
        <w:ind w:left="102" w:firstLine="620" w:firstLineChars="194"/>
        <w:jc w:val="both"/>
        <w:rPr>
          <w:rFonts w:ascii="仿宋" w:hAnsi="仿宋" w:eastAsia="仿宋" w:cs="仿宋"/>
          <w:sz w:val="32"/>
        </w:rPr>
      </w:pPr>
      <w:r>
        <w:rPr>
          <w:rFonts w:hint="eastAsia" w:ascii="仿宋" w:hAnsi="仿宋" w:eastAsia="仿宋" w:cs="仿宋"/>
          <w:sz w:val="32"/>
        </w:rPr>
        <w:t>2、推荐工作程序及时间安排：</w:t>
      </w:r>
    </w:p>
    <w:p>
      <w:pPr>
        <w:numPr>
          <w:ilvl w:val="0"/>
          <w:numId w:val="1"/>
        </w:numPr>
        <w:spacing w:line="360" w:lineRule="auto"/>
        <w:ind w:firstLine="519" w:firstLineChars="173"/>
        <w:jc w:val="both"/>
        <w:rPr>
          <w:rFonts w:ascii="仿宋" w:hAnsi="仿宋" w:eastAsia="仿宋" w:cs="仿宋"/>
          <w:sz w:val="32"/>
          <w:szCs w:val="24"/>
        </w:rPr>
      </w:pPr>
      <w:r>
        <w:rPr>
          <w:rFonts w:hint="eastAsia" w:ascii="仿宋" w:hAnsi="仿宋" w:eastAsia="仿宋" w:cs="仿宋"/>
          <w:sz w:val="30"/>
          <w:szCs w:val="24"/>
        </w:rPr>
        <w:t>凡</w:t>
      </w:r>
      <w:r>
        <w:rPr>
          <w:rFonts w:hint="eastAsia" w:ascii="仿宋" w:hAnsi="仿宋" w:eastAsia="仿宋" w:cs="仿宋"/>
          <w:sz w:val="32"/>
          <w:szCs w:val="24"/>
        </w:rPr>
        <w:t>符合条件的管理学院2017级本科生，从管理学院网站(http://som.xauat.edu.cn)下载如实填写《管理学院2021年推免生申请表》，并提交推免生申请和相关佐证材料。《管理学院2021年推免生申请表》见附件1。</w:t>
      </w:r>
    </w:p>
    <w:p>
      <w:pPr>
        <w:numPr>
          <w:ilvl w:val="0"/>
          <w:numId w:val="1"/>
        </w:numPr>
        <w:spacing w:line="360" w:lineRule="auto"/>
        <w:ind w:firstLine="553" w:firstLineChars="173"/>
        <w:jc w:val="both"/>
        <w:rPr>
          <w:rFonts w:ascii="仿宋" w:hAnsi="仿宋" w:eastAsia="仿宋" w:cs="仿宋"/>
          <w:sz w:val="32"/>
          <w:szCs w:val="24"/>
        </w:rPr>
      </w:pPr>
      <w:r>
        <w:rPr>
          <w:rFonts w:hint="eastAsia" w:ascii="仿宋" w:hAnsi="仿宋" w:eastAsia="仿宋" w:cs="仿宋"/>
          <w:sz w:val="32"/>
          <w:szCs w:val="24"/>
        </w:rPr>
        <w:t>学生成绩以教务管理系统截止当前数据为准,个人成绩总表需通过自助查询打印系统下载后打印，下载打印时间节点为9月9日(第2周周一，教务处如有另行规定以教务处时间为准）。获奖、论文、专利等认定截止日期为2020年9月1日。推免生申请人应如实填写基本信息，在9月10日（第2周周四）12:00前（截止时间后不再接收申请和材料）向学院提交推免生申请表（含电子版）和佐证材料。确保所填写的内容及提供的相关佐证材料真实准确，若弄虚作假，一经核实，将按相关规定严肃处理，取消推免资格。</w:t>
      </w:r>
    </w:p>
    <w:p>
      <w:pPr>
        <w:numPr>
          <w:ilvl w:val="0"/>
          <w:numId w:val="1"/>
        </w:numPr>
        <w:spacing w:line="360" w:lineRule="auto"/>
        <w:ind w:firstLine="553" w:firstLineChars="173"/>
        <w:jc w:val="both"/>
        <w:rPr>
          <w:rFonts w:ascii="仿宋" w:hAnsi="仿宋" w:eastAsia="仿宋" w:cs="仿宋"/>
          <w:sz w:val="32"/>
          <w:szCs w:val="24"/>
        </w:rPr>
      </w:pPr>
      <w:r>
        <w:rPr>
          <w:rFonts w:hint="eastAsia" w:ascii="仿宋" w:hAnsi="仿宋" w:eastAsia="仿宋" w:cs="仿宋"/>
          <w:sz w:val="32"/>
          <w:szCs w:val="24"/>
        </w:rPr>
        <w:t>学院对符合基本申报条件的申请人以班级为单位进行基本素质评议。评议结果“不通过”比例为50%及以上者，不能进入考核评审环节。《管理学院推荐免试研究生基本素质评议表》见附件2。</w:t>
      </w:r>
    </w:p>
    <w:p>
      <w:pPr>
        <w:numPr>
          <w:ilvl w:val="0"/>
          <w:numId w:val="1"/>
        </w:numPr>
        <w:spacing w:line="360" w:lineRule="auto"/>
        <w:ind w:firstLine="553" w:firstLineChars="173"/>
        <w:rPr>
          <w:rFonts w:ascii="仿宋" w:hAnsi="仿宋" w:eastAsia="仿宋" w:cs="仿宋"/>
          <w:sz w:val="32"/>
          <w:szCs w:val="24"/>
        </w:rPr>
      </w:pPr>
      <w:r>
        <w:rPr>
          <w:rFonts w:hint="eastAsia" w:ascii="仿宋" w:hAnsi="仿宋" w:eastAsia="仿宋" w:cs="仿宋"/>
          <w:sz w:val="32"/>
          <w:szCs w:val="24"/>
        </w:rPr>
        <w:t>申请人的平均学分绩点以教务管理信息系统截止当前数据为准，由学院教学办公室负责审核；申请人基本素质评议、获得的创新创业竞赛、各类获奖等加分由学院学工办负责实施和审核；申请人的综合测评成绩依据《管理学院推荐2021年免试研究生综合测评计算办法》（见附件3）确定。</w:t>
      </w:r>
    </w:p>
    <w:p>
      <w:pPr>
        <w:numPr>
          <w:ilvl w:val="0"/>
          <w:numId w:val="1"/>
        </w:numPr>
        <w:spacing w:line="360" w:lineRule="auto"/>
        <w:ind w:firstLine="553" w:firstLineChars="173"/>
        <w:jc w:val="both"/>
        <w:rPr>
          <w:rFonts w:ascii="仿宋" w:hAnsi="仿宋" w:eastAsia="仿宋" w:cs="仿宋"/>
          <w:sz w:val="32"/>
          <w:szCs w:val="24"/>
        </w:rPr>
      </w:pPr>
      <w:r>
        <w:rPr>
          <w:rFonts w:hint="eastAsia" w:ascii="仿宋" w:hAnsi="仿宋" w:eastAsia="仿宋" w:cs="仿宋"/>
          <w:sz w:val="32"/>
          <w:szCs w:val="24"/>
        </w:rPr>
        <w:t>学院统一组织对推免生申请人进行面试（复试时间另行通知），面试成绩以20%计入总成绩。</w:t>
      </w:r>
    </w:p>
    <w:p>
      <w:pPr>
        <w:numPr>
          <w:ilvl w:val="0"/>
          <w:numId w:val="1"/>
        </w:numPr>
        <w:spacing w:line="360" w:lineRule="auto"/>
        <w:ind w:firstLine="553" w:firstLineChars="173"/>
        <w:jc w:val="both"/>
        <w:rPr>
          <w:rFonts w:ascii="仿宋" w:hAnsi="仿宋" w:eastAsia="仿宋" w:cs="仿宋"/>
          <w:sz w:val="32"/>
          <w:szCs w:val="24"/>
        </w:rPr>
      </w:pPr>
      <w:r>
        <w:rPr>
          <w:rFonts w:hint="eastAsia" w:ascii="仿宋" w:hAnsi="仿宋" w:eastAsia="仿宋" w:cs="仿宋"/>
          <w:sz w:val="32"/>
          <w:szCs w:val="24"/>
        </w:rPr>
        <w:t>推免申请人的专业排名以申请人的总成绩由高到低顺序排名。总成绩为综合测评成绩和面试成绩的加权平均分加以确定。</w:t>
      </w:r>
    </w:p>
    <w:p>
      <w:pPr>
        <w:numPr>
          <w:ilvl w:val="0"/>
          <w:numId w:val="1"/>
        </w:numPr>
        <w:spacing w:line="360" w:lineRule="auto"/>
        <w:ind w:firstLine="553" w:firstLineChars="173"/>
        <w:jc w:val="both"/>
        <w:rPr>
          <w:rFonts w:ascii="仿宋" w:hAnsi="仿宋" w:eastAsia="仿宋" w:cs="仿宋"/>
          <w:sz w:val="32"/>
          <w:szCs w:val="24"/>
        </w:rPr>
      </w:pPr>
      <w:r>
        <w:rPr>
          <w:rFonts w:hint="eastAsia" w:ascii="仿宋" w:hAnsi="仿宋" w:eastAsia="仿宋" w:cs="仿宋"/>
          <w:sz w:val="32"/>
          <w:szCs w:val="24"/>
        </w:rPr>
        <w:t>我院管理科学与工程一级学科博士点招收2名具有推免资格的优秀应届本科毕业生直接攻读博士学位(学制5年)。直博生占学校所下达正常类型推免生名额，申请直博的推免生必须留本校攻读博士研究生。直博生根据专业总成绩单独排队优先推荐。</w:t>
      </w:r>
    </w:p>
    <w:p>
      <w:pPr>
        <w:numPr>
          <w:ilvl w:val="0"/>
          <w:numId w:val="1"/>
        </w:numPr>
        <w:spacing w:line="360" w:lineRule="auto"/>
        <w:ind w:firstLine="553" w:firstLineChars="173"/>
        <w:rPr>
          <w:rFonts w:ascii="仿宋" w:hAnsi="仿宋" w:eastAsia="仿宋" w:cs="仿宋"/>
          <w:sz w:val="32"/>
          <w:szCs w:val="24"/>
        </w:rPr>
      </w:pPr>
      <w:r>
        <w:rPr>
          <w:rFonts w:hint="eastAsia" w:ascii="仿宋" w:hAnsi="仿宋" w:eastAsia="仿宋" w:cs="仿宋"/>
          <w:sz w:val="32"/>
          <w:szCs w:val="24"/>
        </w:rPr>
        <w:t>对拟定的推免生名单将在学院网站及学院公告栏进行公示。若有发现不符合选拔条件和存在其他异议者，可向学院推荐工作小组提出意见和申诉。</w:t>
      </w:r>
    </w:p>
    <w:p>
      <w:pPr>
        <w:numPr>
          <w:ilvl w:val="0"/>
          <w:numId w:val="1"/>
        </w:numPr>
        <w:spacing w:line="360" w:lineRule="auto"/>
        <w:ind w:firstLine="553" w:firstLineChars="173"/>
        <w:rPr>
          <w:rFonts w:ascii="仿宋" w:hAnsi="仿宋" w:eastAsia="仿宋" w:cs="仿宋"/>
          <w:sz w:val="32"/>
          <w:szCs w:val="24"/>
        </w:rPr>
      </w:pPr>
      <w:r>
        <w:rPr>
          <w:rFonts w:hint="eastAsia" w:ascii="仿宋" w:hAnsi="仿宋" w:eastAsia="仿宋" w:cs="仿宋"/>
          <w:sz w:val="32"/>
          <w:szCs w:val="24"/>
        </w:rPr>
        <w:t>学院根据申请人的专业总成绩排名确定推荐顺序，由学院党政联席会议审核并予以公示，9月18日（第3周周五）前将我院推免生相关材料报送教务处。</w:t>
      </w:r>
    </w:p>
    <w:p>
      <w:pPr>
        <w:pStyle w:val="3"/>
        <w:suppressAutoHyphens/>
        <w:kinsoku w:val="0"/>
        <w:overflowPunct w:val="0"/>
        <w:spacing w:before="0" w:line="360" w:lineRule="auto"/>
        <w:ind w:left="102" w:firstLine="620" w:firstLineChars="194"/>
        <w:rPr>
          <w:rFonts w:ascii="仿宋" w:hAnsi="仿宋" w:eastAsia="仿宋" w:cs="仿宋"/>
          <w:sz w:val="32"/>
        </w:rPr>
      </w:pPr>
      <w:r>
        <w:rPr>
          <w:rFonts w:hint="eastAsia" w:ascii="仿宋" w:hAnsi="仿宋" w:eastAsia="仿宋" w:cs="仿宋"/>
          <w:sz w:val="32"/>
        </w:rPr>
        <w:t>3、此办法未尽之处，解释权归管理学院。如与学校相关政策不一致，以学校政策为准。</w:t>
      </w:r>
    </w:p>
    <w:p>
      <w:pPr>
        <w:pStyle w:val="3"/>
        <w:kinsoku w:val="0"/>
        <w:overflowPunct w:val="0"/>
        <w:spacing w:before="0"/>
        <w:ind w:left="0"/>
        <w:rPr>
          <w:rFonts w:ascii="仿宋" w:hAnsi="仿宋" w:eastAsia="仿宋" w:cs="仿宋"/>
        </w:rPr>
      </w:pPr>
    </w:p>
    <w:p>
      <w:pPr>
        <w:pStyle w:val="3"/>
        <w:kinsoku w:val="0"/>
        <w:overflowPunct w:val="0"/>
        <w:spacing w:before="12"/>
        <w:ind w:left="0"/>
        <w:rPr>
          <w:rFonts w:ascii="仿宋" w:hAnsi="仿宋" w:eastAsia="仿宋" w:cs="仿宋"/>
          <w:sz w:val="23"/>
        </w:rPr>
      </w:pPr>
    </w:p>
    <w:p>
      <w:pPr>
        <w:pStyle w:val="3"/>
        <w:kinsoku w:val="0"/>
        <w:overflowPunct w:val="0"/>
        <w:spacing w:before="66"/>
        <w:ind w:left="0" w:right="557"/>
        <w:jc w:val="right"/>
        <w:rPr>
          <w:rFonts w:ascii="仿宋" w:hAnsi="仿宋" w:eastAsia="仿宋" w:cs="仿宋"/>
          <w:sz w:val="32"/>
        </w:rPr>
      </w:pPr>
      <w:r>
        <w:rPr>
          <w:rFonts w:hint="eastAsia" w:ascii="仿宋" w:hAnsi="仿宋" w:eastAsia="仿宋" w:cs="仿宋"/>
          <w:sz w:val="32"/>
        </w:rPr>
        <w:t>管理学院</w:t>
      </w:r>
    </w:p>
    <w:p>
      <w:pPr>
        <w:pStyle w:val="3"/>
        <w:kinsoku w:val="0"/>
        <w:overflowPunct w:val="0"/>
        <w:ind w:left="0" w:right="237"/>
        <w:jc w:val="right"/>
        <w:rPr>
          <w:rFonts w:ascii="仿宋" w:hAnsi="仿宋" w:eastAsia="仿宋"/>
          <w:sz w:val="32"/>
        </w:rPr>
      </w:pPr>
      <w:r>
        <w:rPr>
          <w:rFonts w:hint="eastAsia" w:ascii="仿宋" w:hAnsi="仿宋" w:eastAsia="仿宋" w:cs="仿宋"/>
          <w:sz w:val="32"/>
        </w:rPr>
        <w:t>2020年7月12日</w:t>
      </w:r>
    </w:p>
    <w:bookmarkEnd w:id="0"/>
    <w:p>
      <w:pPr>
        <w:pStyle w:val="3"/>
        <w:tabs>
          <w:tab w:val="left" w:pos="2116"/>
        </w:tabs>
        <w:kinsoku w:val="0"/>
        <w:overflowPunct w:val="0"/>
        <w:spacing w:before="44"/>
        <w:ind w:left="203"/>
        <w:rPr>
          <w:rFonts w:ascii="仿宋" w:hAnsi="仿宋" w:eastAsia="仿宋"/>
          <w:sz w:val="32"/>
        </w:rPr>
        <w:sectPr>
          <w:pgSz w:w="11910" w:h="16840"/>
          <w:pgMar w:top="1440" w:right="1080" w:bottom="1440" w:left="1080" w:header="720" w:footer="720" w:gutter="0"/>
          <w:cols w:space="720" w:num="1"/>
          <w:docGrid w:linePitch="299" w:charSpace="0"/>
        </w:sectPr>
      </w:pPr>
    </w:p>
    <w:p>
      <w:pPr>
        <w:pStyle w:val="3"/>
        <w:tabs>
          <w:tab w:val="left" w:pos="2116"/>
        </w:tabs>
        <w:kinsoku w:val="0"/>
        <w:overflowPunct w:val="0"/>
        <w:spacing w:before="44"/>
        <w:ind w:left="203"/>
        <w:rPr>
          <w:rFonts w:ascii="黑体" w:eastAsia="黑体" w:cs="黑体"/>
          <w:sz w:val="32"/>
          <w:szCs w:val="32"/>
        </w:rPr>
      </w:pPr>
      <w:r>
        <w:rPr>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sz w:val="32"/>
          <w:szCs w:val="32"/>
        </w:rPr>
        <w:instrText xml:space="preserve">ADDIN CNKISM.UserStyle</w:instrText>
      </w:r>
      <w:r>
        <w:rPr>
          <w:sz w:val="32"/>
          <w:szCs w:val="32"/>
        </w:rPr>
        <w:fldChar w:fldCharType="end"/>
      </w:r>
      <w:r>
        <w:rPr>
          <w:rFonts w:hint="eastAsia"/>
          <w:sz w:val="32"/>
          <w:szCs w:val="32"/>
        </w:rPr>
        <w:t>附件</w:t>
      </w:r>
      <w:r>
        <w:rPr>
          <w:spacing w:val="-80"/>
          <w:sz w:val="32"/>
          <w:szCs w:val="32"/>
        </w:rPr>
        <w:t xml:space="preserve"> </w:t>
      </w:r>
      <w:r>
        <w:rPr>
          <w:sz w:val="32"/>
          <w:szCs w:val="32"/>
        </w:rPr>
        <w:t>1</w:t>
      </w:r>
      <w:r>
        <w:rPr>
          <w:rFonts w:hint="eastAsia"/>
          <w:sz w:val="28"/>
          <w:szCs w:val="28"/>
        </w:rPr>
        <w:t>：</w:t>
      </w:r>
      <w:r>
        <w:rPr>
          <w:sz w:val="28"/>
          <w:szCs w:val="28"/>
        </w:rPr>
        <w:tab/>
      </w:r>
      <w:r>
        <w:rPr>
          <w:rFonts w:hint="eastAsia" w:ascii="黑体" w:eastAsia="黑体" w:cs="黑体"/>
          <w:spacing w:val="-3"/>
          <w:sz w:val="32"/>
          <w:szCs w:val="32"/>
        </w:rPr>
        <w:t>西</w:t>
      </w:r>
      <w:r>
        <w:rPr>
          <w:rFonts w:hint="eastAsia" w:ascii="黑体" w:eastAsia="黑体" w:cs="黑体"/>
          <w:sz w:val="32"/>
          <w:szCs w:val="32"/>
        </w:rPr>
        <w:t>安建筑科技大学管理学院</w:t>
      </w:r>
      <w:r>
        <w:rPr>
          <w:rFonts w:ascii="黑体" w:eastAsia="黑体" w:cs="黑体"/>
          <w:sz w:val="32"/>
          <w:szCs w:val="32"/>
        </w:rPr>
        <w:t>202</w:t>
      </w:r>
      <w:r>
        <w:rPr>
          <w:rFonts w:hint="eastAsia" w:ascii="黑体" w:eastAsia="黑体" w:cs="黑体"/>
          <w:sz w:val="32"/>
          <w:szCs w:val="32"/>
        </w:rPr>
        <w:t>1年推免生申请表</w:t>
      </w:r>
    </w:p>
    <w:p>
      <w:pPr>
        <w:pStyle w:val="3"/>
        <w:kinsoku w:val="0"/>
        <w:overflowPunct w:val="0"/>
        <w:spacing w:before="4"/>
        <w:rPr>
          <w:rFonts w:ascii="黑体" w:eastAsia="黑体" w:cs="黑体"/>
          <w:sz w:val="17"/>
          <w:szCs w:val="17"/>
        </w:rPr>
      </w:pPr>
    </w:p>
    <w:tbl>
      <w:tblPr>
        <w:tblStyle w:val="6"/>
        <w:tblW w:w="9465" w:type="dxa"/>
        <w:tblInd w:w="125" w:type="dxa"/>
        <w:tblLayout w:type="fixed"/>
        <w:tblCellMar>
          <w:top w:w="0" w:type="dxa"/>
          <w:left w:w="0" w:type="dxa"/>
          <w:bottom w:w="0" w:type="dxa"/>
          <w:right w:w="0" w:type="dxa"/>
        </w:tblCellMar>
      </w:tblPr>
      <w:tblGrid>
        <w:gridCol w:w="1322"/>
        <w:gridCol w:w="746"/>
        <w:gridCol w:w="647"/>
        <w:gridCol w:w="1006"/>
        <w:gridCol w:w="892"/>
        <w:gridCol w:w="1069"/>
        <w:gridCol w:w="1321"/>
        <w:gridCol w:w="854"/>
        <w:gridCol w:w="856"/>
        <w:gridCol w:w="752"/>
      </w:tblGrid>
      <w:tr>
        <w:tblPrEx>
          <w:tblCellMar>
            <w:top w:w="0" w:type="dxa"/>
            <w:left w:w="0" w:type="dxa"/>
            <w:bottom w:w="0" w:type="dxa"/>
            <w:right w:w="0" w:type="dxa"/>
          </w:tblCellMar>
        </w:tblPrEx>
        <w:trPr>
          <w:trHeight w:val="439" w:hRule="atLeast"/>
        </w:trPr>
        <w:tc>
          <w:tcPr>
            <w:tcW w:w="1322" w:type="dxa"/>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spacing w:before="0" w:line="213" w:lineRule="auto"/>
              <w:ind w:left="0" w:right="0"/>
              <w:rPr>
                <w:sz w:val="21"/>
                <w:szCs w:val="21"/>
              </w:rPr>
            </w:pPr>
            <w:r>
              <w:rPr>
                <w:rFonts w:hint="eastAsia"/>
                <w:sz w:val="21"/>
                <w:szCs w:val="21"/>
              </w:rPr>
              <w:t>学院名称</w:t>
            </w:r>
          </w:p>
        </w:tc>
        <w:tc>
          <w:tcPr>
            <w:tcW w:w="1393" w:type="dxa"/>
            <w:gridSpan w:val="2"/>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spacing w:before="0"/>
              <w:ind w:left="0" w:right="0"/>
              <w:rPr>
                <w:rFonts w:ascii="Times New Roman" w:eastAsia="等线"/>
                <w:sz w:val="20"/>
                <w:szCs w:val="20"/>
              </w:rPr>
            </w:pPr>
          </w:p>
        </w:tc>
        <w:tc>
          <w:tcPr>
            <w:tcW w:w="1006" w:type="dxa"/>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spacing w:before="0" w:line="213" w:lineRule="auto"/>
              <w:ind w:left="0" w:right="0"/>
              <w:rPr>
                <w:sz w:val="21"/>
                <w:szCs w:val="21"/>
              </w:rPr>
            </w:pPr>
            <w:r>
              <w:rPr>
                <w:rFonts w:hint="eastAsia"/>
                <w:sz w:val="21"/>
                <w:szCs w:val="21"/>
              </w:rPr>
              <w:t>专业班级</w:t>
            </w:r>
          </w:p>
        </w:tc>
        <w:tc>
          <w:tcPr>
            <w:tcW w:w="892" w:type="dxa"/>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spacing w:before="0"/>
              <w:ind w:left="0" w:right="0"/>
              <w:rPr>
                <w:rFonts w:ascii="Times New Roman" w:eastAsia="等线"/>
                <w:sz w:val="20"/>
                <w:szCs w:val="20"/>
              </w:rPr>
            </w:pPr>
          </w:p>
        </w:tc>
        <w:tc>
          <w:tcPr>
            <w:tcW w:w="1069" w:type="dxa"/>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spacing w:before="0"/>
              <w:ind w:left="0" w:right="0"/>
              <w:rPr>
                <w:sz w:val="21"/>
                <w:szCs w:val="21"/>
              </w:rPr>
            </w:pPr>
            <w:r>
              <w:rPr>
                <w:rFonts w:hint="eastAsia"/>
                <w:sz w:val="21"/>
                <w:szCs w:val="21"/>
              </w:rPr>
              <w:t>姓名</w:t>
            </w:r>
          </w:p>
        </w:tc>
        <w:tc>
          <w:tcPr>
            <w:tcW w:w="1321" w:type="dxa"/>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spacing w:before="0"/>
              <w:ind w:left="0" w:right="0"/>
              <w:rPr>
                <w:rFonts w:ascii="Times New Roman" w:eastAsia="等线"/>
                <w:sz w:val="20"/>
                <w:szCs w:val="20"/>
              </w:rPr>
            </w:pPr>
          </w:p>
        </w:tc>
        <w:tc>
          <w:tcPr>
            <w:tcW w:w="854" w:type="dxa"/>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spacing w:before="0"/>
              <w:ind w:left="0" w:right="0"/>
              <w:rPr>
                <w:sz w:val="21"/>
                <w:szCs w:val="21"/>
              </w:rPr>
            </w:pPr>
            <w:r>
              <w:rPr>
                <w:rFonts w:hint="eastAsia"/>
                <w:sz w:val="21"/>
                <w:szCs w:val="21"/>
              </w:rPr>
              <w:t>性别</w:t>
            </w:r>
          </w:p>
        </w:tc>
        <w:tc>
          <w:tcPr>
            <w:tcW w:w="1608" w:type="dxa"/>
            <w:gridSpan w:val="2"/>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spacing w:before="0"/>
              <w:ind w:left="0" w:right="0"/>
              <w:rPr>
                <w:rFonts w:ascii="Times New Roman" w:eastAsia="等线"/>
                <w:sz w:val="20"/>
                <w:szCs w:val="20"/>
              </w:rPr>
            </w:pPr>
          </w:p>
        </w:tc>
      </w:tr>
      <w:tr>
        <w:tblPrEx>
          <w:tblCellMar>
            <w:top w:w="0" w:type="dxa"/>
            <w:left w:w="0" w:type="dxa"/>
            <w:bottom w:w="0" w:type="dxa"/>
            <w:right w:w="0" w:type="dxa"/>
          </w:tblCellMar>
        </w:tblPrEx>
        <w:trPr>
          <w:trHeight w:val="537" w:hRule="atLeast"/>
        </w:trPr>
        <w:tc>
          <w:tcPr>
            <w:tcW w:w="1322" w:type="dxa"/>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spacing w:before="1"/>
              <w:ind w:left="131" w:right="119"/>
              <w:rPr>
                <w:sz w:val="21"/>
                <w:szCs w:val="21"/>
              </w:rPr>
            </w:pPr>
            <w:r>
              <w:rPr>
                <w:rFonts w:hint="eastAsia"/>
                <w:sz w:val="21"/>
                <w:szCs w:val="21"/>
              </w:rPr>
              <w:t>学号</w:t>
            </w:r>
          </w:p>
        </w:tc>
        <w:tc>
          <w:tcPr>
            <w:tcW w:w="1393" w:type="dxa"/>
            <w:gridSpan w:val="2"/>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rPr>
                <w:rFonts w:ascii="Times New Roman" w:eastAsia="等线"/>
                <w:sz w:val="20"/>
                <w:szCs w:val="20"/>
              </w:rPr>
            </w:pPr>
          </w:p>
        </w:tc>
        <w:tc>
          <w:tcPr>
            <w:tcW w:w="1006" w:type="dxa"/>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spacing w:before="108" w:line="213" w:lineRule="auto"/>
              <w:ind w:left="164" w:right="147"/>
              <w:rPr>
                <w:sz w:val="21"/>
                <w:szCs w:val="21"/>
              </w:rPr>
            </w:pPr>
            <w:r>
              <w:rPr>
                <w:rFonts w:hint="eastAsia"/>
                <w:sz w:val="21"/>
                <w:szCs w:val="21"/>
              </w:rPr>
              <w:t>平均学分绩点</w:t>
            </w:r>
          </w:p>
        </w:tc>
        <w:tc>
          <w:tcPr>
            <w:tcW w:w="892" w:type="dxa"/>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rPr>
                <w:rFonts w:ascii="Times New Roman" w:eastAsia="等线"/>
                <w:sz w:val="20"/>
                <w:szCs w:val="20"/>
              </w:rPr>
            </w:pPr>
          </w:p>
        </w:tc>
        <w:tc>
          <w:tcPr>
            <w:tcW w:w="1069" w:type="dxa"/>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spacing w:before="108" w:line="213" w:lineRule="auto"/>
              <w:ind w:left="139" w:right="117"/>
              <w:rPr>
                <w:sz w:val="21"/>
                <w:szCs w:val="21"/>
              </w:rPr>
            </w:pPr>
            <w:r>
              <w:rPr>
                <w:rFonts w:hint="eastAsia"/>
                <w:sz w:val="21"/>
                <w:szCs w:val="21"/>
              </w:rPr>
              <w:t>专业</w:t>
            </w:r>
          </w:p>
          <w:p>
            <w:pPr>
              <w:pStyle w:val="13"/>
              <w:kinsoku w:val="0"/>
              <w:overflowPunct w:val="0"/>
              <w:spacing w:before="108" w:line="213" w:lineRule="auto"/>
              <w:ind w:left="139" w:right="117"/>
              <w:rPr>
                <w:sz w:val="21"/>
                <w:szCs w:val="21"/>
              </w:rPr>
            </w:pPr>
            <w:r>
              <w:rPr>
                <w:rFonts w:hint="eastAsia"/>
                <w:sz w:val="21"/>
                <w:szCs w:val="21"/>
              </w:rPr>
              <w:t>排名</w:t>
            </w:r>
          </w:p>
        </w:tc>
        <w:tc>
          <w:tcPr>
            <w:tcW w:w="1321" w:type="dxa"/>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rPr>
                <w:rFonts w:ascii="Times New Roman" w:eastAsia="等线"/>
                <w:sz w:val="20"/>
                <w:szCs w:val="20"/>
              </w:rPr>
            </w:pPr>
          </w:p>
        </w:tc>
        <w:tc>
          <w:tcPr>
            <w:tcW w:w="854" w:type="dxa"/>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spacing w:before="108" w:line="213" w:lineRule="auto"/>
              <w:ind w:left="212" w:right="207"/>
              <w:rPr>
                <w:sz w:val="21"/>
                <w:szCs w:val="21"/>
              </w:rPr>
            </w:pPr>
            <w:r>
              <w:rPr>
                <w:rFonts w:hint="eastAsia"/>
                <w:sz w:val="21"/>
                <w:szCs w:val="21"/>
              </w:rPr>
              <w:t>联系电话</w:t>
            </w:r>
          </w:p>
        </w:tc>
        <w:tc>
          <w:tcPr>
            <w:tcW w:w="1608" w:type="dxa"/>
            <w:gridSpan w:val="2"/>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rPr>
                <w:rFonts w:ascii="Times New Roman" w:eastAsia="等线"/>
                <w:sz w:val="20"/>
                <w:szCs w:val="20"/>
              </w:rPr>
            </w:pPr>
          </w:p>
        </w:tc>
      </w:tr>
      <w:tr>
        <w:tblPrEx>
          <w:tblCellMar>
            <w:top w:w="0" w:type="dxa"/>
            <w:left w:w="0" w:type="dxa"/>
            <w:bottom w:w="0" w:type="dxa"/>
            <w:right w:w="0" w:type="dxa"/>
          </w:tblCellMar>
        </w:tblPrEx>
        <w:trPr>
          <w:trHeight w:val="450" w:hRule="atLeast"/>
        </w:trPr>
        <w:tc>
          <w:tcPr>
            <w:tcW w:w="1322" w:type="dxa"/>
            <w:tcBorders>
              <w:top w:val="single" w:color="000000" w:sz="4" w:space="0"/>
              <w:left w:val="single" w:color="000000" w:sz="4" w:space="0"/>
              <w:right w:val="single" w:color="000000" w:sz="4" w:space="0"/>
            </w:tcBorders>
            <w:vAlign w:val="center"/>
          </w:tcPr>
          <w:p>
            <w:pPr>
              <w:pStyle w:val="13"/>
              <w:kinsoku w:val="0"/>
              <w:overflowPunct w:val="0"/>
              <w:spacing w:before="65" w:line="213" w:lineRule="auto"/>
              <w:ind w:left="136" w:right="119"/>
              <w:rPr>
                <w:sz w:val="21"/>
                <w:szCs w:val="21"/>
              </w:rPr>
            </w:pPr>
            <w:r>
              <w:rPr>
                <w:rFonts w:hint="eastAsia"/>
                <w:sz w:val="21"/>
                <w:szCs w:val="21"/>
              </w:rPr>
              <w:t>不及格课程名称、性质及成绩</w:t>
            </w:r>
          </w:p>
        </w:tc>
        <w:tc>
          <w:tcPr>
            <w:tcW w:w="8143" w:type="dxa"/>
            <w:gridSpan w:val="9"/>
            <w:tcBorders>
              <w:top w:val="single" w:color="000000" w:sz="4" w:space="0"/>
              <w:left w:val="single" w:color="000000" w:sz="4" w:space="0"/>
              <w:right w:val="single" w:color="000000" w:sz="4" w:space="0"/>
            </w:tcBorders>
            <w:vAlign w:val="center"/>
          </w:tcPr>
          <w:p>
            <w:pPr>
              <w:pStyle w:val="13"/>
              <w:kinsoku w:val="0"/>
              <w:overflowPunct w:val="0"/>
              <w:rPr>
                <w:rFonts w:ascii="Times New Roman" w:eastAsia="等线"/>
                <w:sz w:val="20"/>
                <w:szCs w:val="20"/>
              </w:rPr>
            </w:pPr>
          </w:p>
        </w:tc>
      </w:tr>
      <w:tr>
        <w:tblPrEx>
          <w:tblCellMar>
            <w:top w:w="0" w:type="dxa"/>
            <w:left w:w="0" w:type="dxa"/>
            <w:bottom w:w="0" w:type="dxa"/>
            <w:right w:w="0" w:type="dxa"/>
          </w:tblCellMar>
        </w:tblPrEx>
        <w:trPr>
          <w:trHeight w:val="1312" w:hRule="atLeast"/>
        </w:trPr>
        <w:tc>
          <w:tcPr>
            <w:tcW w:w="1322" w:type="dxa"/>
            <w:tcBorders>
              <w:top w:val="single" w:color="000000" w:sz="4" w:space="0"/>
              <w:left w:val="single" w:color="000000" w:sz="4" w:space="0"/>
              <w:right w:val="single" w:color="000000" w:sz="4" w:space="0"/>
            </w:tcBorders>
            <w:vAlign w:val="center"/>
          </w:tcPr>
          <w:p>
            <w:pPr>
              <w:pStyle w:val="13"/>
              <w:kinsoku w:val="0"/>
              <w:overflowPunct w:val="0"/>
              <w:spacing w:before="65" w:line="213" w:lineRule="auto"/>
              <w:ind w:left="136" w:right="119"/>
              <w:rPr>
                <w:sz w:val="21"/>
                <w:szCs w:val="21"/>
              </w:rPr>
            </w:pPr>
            <w:r>
              <w:rPr>
                <w:rFonts w:hint="eastAsia"/>
                <w:sz w:val="21"/>
                <w:szCs w:val="21"/>
              </w:rPr>
              <w:t>推免类型</w:t>
            </w:r>
          </w:p>
          <w:p>
            <w:pPr>
              <w:pStyle w:val="13"/>
              <w:kinsoku w:val="0"/>
              <w:overflowPunct w:val="0"/>
              <w:spacing w:before="65" w:line="213" w:lineRule="auto"/>
              <w:ind w:left="136" w:right="119"/>
              <w:rPr>
                <w:sz w:val="21"/>
                <w:szCs w:val="21"/>
              </w:rPr>
            </w:pPr>
            <w:r>
              <w:rPr>
                <w:rFonts w:hint="eastAsia"/>
                <w:sz w:val="21"/>
                <w:szCs w:val="21"/>
              </w:rPr>
              <w:t>(填一种。不填或多填无效</w:t>
            </w:r>
            <w:r>
              <w:rPr>
                <w:sz w:val="21"/>
                <w:szCs w:val="21"/>
              </w:rPr>
              <w:t>)</w:t>
            </w:r>
          </w:p>
        </w:tc>
        <w:tc>
          <w:tcPr>
            <w:tcW w:w="3291" w:type="dxa"/>
            <w:gridSpan w:val="4"/>
            <w:tcBorders>
              <w:top w:val="single" w:color="000000" w:sz="4" w:space="0"/>
              <w:left w:val="single" w:color="000000" w:sz="4" w:space="0"/>
              <w:right w:val="single" w:color="000000" w:sz="4" w:space="0"/>
            </w:tcBorders>
            <w:vAlign w:val="center"/>
          </w:tcPr>
          <w:tbl>
            <w:tblPr>
              <w:tblStyle w:val="7"/>
              <w:tblW w:w="0" w:type="auto"/>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271"/>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3271" w:type="dxa"/>
                </w:tcPr>
                <w:p>
                  <w:pPr>
                    <w:pStyle w:val="13"/>
                    <w:kinsoku w:val="0"/>
                    <w:overflowPunct w:val="0"/>
                    <w:ind w:left="0"/>
                    <w:rPr>
                      <w:sz w:val="21"/>
                      <w:szCs w:val="21"/>
                    </w:rPr>
                  </w:pPr>
                </w:p>
              </w:tc>
            </w:tr>
          </w:tbl>
          <w:p>
            <w:pPr>
              <w:pStyle w:val="13"/>
              <w:kinsoku w:val="0"/>
              <w:overflowPunct w:val="0"/>
              <w:ind w:left="0" w:right="0"/>
              <w:jc w:val="left"/>
              <w:rPr>
                <w:sz w:val="21"/>
                <w:szCs w:val="21"/>
              </w:rPr>
            </w:pPr>
            <w:r>
              <w:rPr>
                <w:rFonts w:hint="eastAsia"/>
                <w:sz w:val="21"/>
                <w:szCs w:val="21"/>
              </w:rPr>
              <w:t>推免类型：正常推免、直博生推免、破格推荐、本硕一体化推免</w:t>
            </w:r>
          </w:p>
        </w:tc>
        <w:tc>
          <w:tcPr>
            <w:tcW w:w="1069" w:type="dxa"/>
            <w:tcBorders>
              <w:top w:val="single" w:color="000000" w:sz="4" w:space="0"/>
              <w:left w:val="single" w:color="000000" w:sz="4" w:space="0"/>
              <w:right w:val="single" w:color="000000" w:sz="4" w:space="0"/>
            </w:tcBorders>
            <w:vAlign w:val="center"/>
          </w:tcPr>
          <w:p>
            <w:pPr>
              <w:pStyle w:val="13"/>
              <w:kinsoku w:val="0"/>
              <w:overflowPunct w:val="0"/>
              <w:spacing w:before="65" w:line="213" w:lineRule="auto"/>
              <w:ind w:left="136" w:right="119"/>
              <w:rPr>
                <w:sz w:val="21"/>
                <w:szCs w:val="21"/>
              </w:rPr>
            </w:pPr>
            <w:r>
              <w:rPr>
                <w:rFonts w:hint="eastAsia"/>
                <w:sz w:val="21"/>
                <w:szCs w:val="21"/>
              </w:rPr>
              <w:t>拟报考院校及专业</w:t>
            </w:r>
          </w:p>
        </w:tc>
        <w:tc>
          <w:tcPr>
            <w:tcW w:w="3783" w:type="dxa"/>
            <w:gridSpan w:val="4"/>
            <w:tcBorders>
              <w:top w:val="single" w:color="000000" w:sz="4" w:space="0"/>
              <w:left w:val="single" w:color="000000" w:sz="4" w:space="0"/>
              <w:right w:val="single" w:color="000000" w:sz="4" w:space="0"/>
            </w:tcBorders>
            <w:vAlign w:val="center"/>
          </w:tcPr>
          <w:p>
            <w:pPr>
              <w:pStyle w:val="13"/>
              <w:kinsoku w:val="0"/>
              <w:overflowPunct w:val="0"/>
              <w:spacing w:before="65"/>
              <w:ind w:left="136" w:right="119"/>
              <w:rPr>
                <w:sz w:val="21"/>
                <w:szCs w:val="21"/>
              </w:rPr>
            </w:pPr>
          </w:p>
        </w:tc>
      </w:tr>
      <w:tr>
        <w:tblPrEx>
          <w:tblCellMar>
            <w:top w:w="0" w:type="dxa"/>
            <w:left w:w="0" w:type="dxa"/>
            <w:bottom w:w="0" w:type="dxa"/>
            <w:right w:w="0" w:type="dxa"/>
          </w:tblCellMar>
        </w:tblPrEx>
        <w:trPr>
          <w:trHeight w:val="914" w:hRule="atLeast"/>
        </w:trPr>
        <w:tc>
          <w:tcPr>
            <w:tcW w:w="1322" w:type="dxa"/>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spacing w:before="5"/>
              <w:rPr>
                <w:rFonts w:ascii="黑体" w:eastAsia="黑体" w:cs="黑体"/>
                <w:sz w:val="17"/>
                <w:szCs w:val="17"/>
              </w:rPr>
            </w:pPr>
          </w:p>
          <w:p>
            <w:pPr>
              <w:pStyle w:val="13"/>
              <w:kinsoku w:val="0"/>
              <w:overflowPunct w:val="0"/>
              <w:spacing w:line="213" w:lineRule="auto"/>
              <w:ind w:left="450" w:right="436"/>
              <w:rPr>
                <w:sz w:val="21"/>
                <w:szCs w:val="21"/>
              </w:rPr>
            </w:pPr>
            <w:r>
              <w:rPr>
                <w:rFonts w:hint="eastAsia"/>
                <w:sz w:val="21"/>
                <w:szCs w:val="21"/>
              </w:rPr>
              <w:t>外语水平</w:t>
            </w:r>
          </w:p>
        </w:tc>
        <w:tc>
          <w:tcPr>
            <w:tcW w:w="2399" w:type="dxa"/>
            <w:gridSpan w:val="3"/>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spacing w:line="255" w:lineRule="exact"/>
              <w:ind w:left="110"/>
              <w:jc w:val="left"/>
              <w:rPr>
                <w:sz w:val="21"/>
                <w:szCs w:val="21"/>
              </w:rPr>
            </w:pPr>
            <w:r>
              <w:rPr>
                <w:sz w:val="21"/>
                <w:szCs w:val="21"/>
              </w:rPr>
              <w:t xml:space="preserve">CET4 </w:t>
            </w:r>
            <w:r>
              <w:rPr>
                <w:rFonts w:hint="eastAsia"/>
                <w:sz w:val="21"/>
                <w:szCs w:val="21"/>
              </w:rPr>
              <w:t>成绩：</w:t>
            </w:r>
          </w:p>
          <w:p>
            <w:pPr>
              <w:pStyle w:val="13"/>
              <w:kinsoku w:val="0"/>
              <w:overflowPunct w:val="0"/>
              <w:spacing w:before="8" w:line="213" w:lineRule="auto"/>
              <w:ind w:left="110" w:right="1107"/>
              <w:rPr>
                <w:sz w:val="21"/>
                <w:szCs w:val="21"/>
              </w:rPr>
            </w:pPr>
            <w:r>
              <w:rPr>
                <w:sz w:val="21"/>
                <w:szCs w:val="21"/>
              </w:rPr>
              <w:t xml:space="preserve">CET6 </w:t>
            </w:r>
            <w:r>
              <w:rPr>
                <w:rFonts w:hint="eastAsia"/>
                <w:sz w:val="21"/>
                <w:szCs w:val="21"/>
              </w:rPr>
              <w:t>成绩：</w:t>
            </w:r>
          </w:p>
          <w:p>
            <w:pPr>
              <w:pStyle w:val="13"/>
              <w:kinsoku w:val="0"/>
              <w:overflowPunct w:val="0"/>
              <w:spacing w:before="8" w:line="213" w:lineRule="auto"/>
              <w:ind w:left="110" w:right="1107"/>
              <w:rPr>
                <w:sz w:val="21"/>
                <w:szCs w:val="21"/>
              </w:rPr>
            </w:pPr>
            <w:r>
              <w:rPr>
                <w:sz w:val="21"/>
                <w:szCs w:val="21"/>
              </w:rPr>
              <w:t xml:space="preserve">     </w:t>
            </w:r>
            <w:r>
              <w:rPr>
                <w:rFonts w:hint="eastAsia"/>
                <w:sz w:val="21"/>
                <w:szCs w:val="21"/>
              </w:rPr>
              <w:t>其他：</w:t>
            </w:r>
          </w:p>
        </w:tc>
        <w:tc>
          <w:tcPr>
            <w:tcW w:w="892" w:type="dxa"/>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spacing w:before="103" w:line="213" w:lineRule="auto"/>
              <w:ind w:left="133" w:right="112"/>
              <w:rPr>
                <w:sz w:val="21"/>
                <w:szCs w:val="21"/>
              </w:rPr>
            </w:pPr>
            <w:r>
              <w:rPr>
                <w:rFonts w:hint="eastAsia"/>
                <w:sz w:val="21"/>
                <w:szCs w:val="21"/>
              </w:rPr>
              <w:t>特长及兴趣爱好</w:t>
            </w:r>
          </w:p>
        </w:tc>
        <w:tc>
          <w:tcPr>
            <w:tcW w:w="4852" w:type="dxa"/>
            <w:gridSpan w:val="5"/>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rPr>
                <w:rFonts w:ascii="Times New Roman" w:eastAsia="等线"/>
                <w:sz w:val="20"/>
                <w:szCs w:val="20"/>
              </w:rPr>
            </w:pPr>
          </w:p>
        </w:tc>
      </w:tr>
      <w:tr>
        <w:tblPrEx>
          <w:tblCellMar>
            <w:top w:w="0" w:type="dxa"/>
            <w:left w:w="0" w:type="dxa"/>
            <w:bottom w:w="0" w:type="dxa"/>
            <w:right w:w="0" w:type="dxa"/>
          </w:tblCellMar>
        </w:tblPrEx>
        <w:trPr>
          <w:trHeight w:val="466" w:hRule="atLeast"/>
        </w:trPr>
        <w:tc>
          <w:tcPr>
            <w:tcW w:w="1322" w:type="dxa"/>
            <w:vMerge w:val="restart"/>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spacing w:before="6"/>
              <w:rPr>
                <w:rFonts w:ascii="黑体" w:eastAsia="黑体" w:cs="黑体"/>
                <w:sz w:val="21"/>
                <w:szCs w:val="21"/>
              </w:rPr>
            </w:pPr>
          </w:p>
          <w:p>
            <w:pPr>
              <w:pStyle w:val="13"/>
              <w:kinsoku w:val="0"/>
              <w:overflowPunct w:val="0"/>
              <w:spacing w:line="230" w:lineRule="auto"/>
              <w:ind w:left="136" w:right="119"/>
              <w:jc w:val="both"/>
              <w:rPr>
                <w:sz w:val="21"/>
                <w:szCs w:val="21"/>
              </w:rPr>
            </w:pPr>
            <w:r>
              <w:rPr>
                <w:rFonts w:hint="eastAsia"/>
                <w:sz w:val="21"/>
                <w:szCs w:val="21"/>
              </w:rPr>
              <w:t>认定加分的创新创业竞赛获奖等</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spacing w:before="0"/>
              <w:ind w:left="0" w:right="0"/>
              <w:rPr>
                <w:sz w:val="21"/>
                <w:szCs w:val="21"/>
              </w:rPr>
            </w:pPr>
            <w:r>
              <w:rPr>
                <w:rFonts w:hint="eastAsia"/>
                <w:sz w:val="21"/>
                <w:szCs w:val="21"/>
              </w:rPr>
              <w:t>序号</w:t>
            </w:r>
          </w:p>
        </w:tc>
        <w:tc>
          <w:tcPr>
            <w:tcW w:w="3614" w:type="dxa"/>
            <w:gridSpan w:val="4"/>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spacing w:before="0"/>
              <w:ind w:left="0" w:right="0"/>
              <w:rPr>
                <w:sz w:val="21"/>
                <w:szCs w:val="21"/>
              </w:rPr>
            </w:pPr>
            <w:r>
              <w:rPr>
                <w:rFonts w:hint="eastAsia"/>
                <w:sz w:val="21"/>
                <w:szCs w:val="21"/>
              </w:rPr>
              <w:t>名称及奖项等</w:t>
            </w:r>
          </w:p>
        </w:tc>
        <w:tc>
          <w:tcPr>
            <w:tcW w:w="1321" w:type="dxa"/>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spacing w:before="0"/>
              <w:ind w:left="0" w:right="0"/>
              <w:rPr>
                <w:sz w:val="21"/>
                <w:szCs w:val="21"/>
              </w:rPr>
            </w:pPr>
            <w:r>
              <w:rPr>
                <w:rFonts w:hint="eastAsia"/>
                <w:sz w:val="21"/>
                <w:szCs w:val="21"/>
              </w:rPr>
              <w:t>颁奖单位</w:t>
            </w:r>
          </w:p>
        </w:tc>
        <w:tc>
          <w:tcPr>
            <w:tcW w:w="854" w:type="dxa"/>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spacing w:before="0"/>
              <w:ind w:left="0" w:right="0"/>
              <w:rPr>
                <w:sz w:val="21"/>
                <w:szCs w:val="21"/>
              </w:rPr>
            </w:pPr>
            <w:r>
              <w:rPr>
                <w:rFonts w:hint="eastAsia"/>
                <w:sz w:val="21"/>
                <w:szCs w:val="21"/>
              </w:rPr>
              <w:t>时间</w:t>
            </w:r>
          </w:p>
        </w:tc>
        <w:tc>
          <w:tcPr>
            <w:tcW w:w="856" w:type="dxa"/>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spacing w:before="0" w:line="213" w:lineRule="auto"/>
              <w:ind w:left="0" w:right="0" w:firstLine="52"/>
              <w:rPr>
                <w:sz w:val="21"/>
                <w:szCs w:val="21"/>
              </w:rPr>
            </w:pPr>
            <w:r>
              <w:rPr>
                <w:rFonts w:hint="eastAsia"/>
                <w:sz w:val="21"/>
                <w:szCs w:val="21"/>
              </w:rPr>
              <w:t>排名</w:t>
            </w:r>
            <w:r>
              <w:rPr>
                <w:sz w:val="21"/>
                <w:szCs w:val="21"/>
              </w:rPr>
              <w:t xml:space="preserve">/ </w:t>
            </w:r>
            <w:r>
              <w:rPr>
                <w:rFonts w:hint="eastAsia"/>
                <w:sz w:val="21"/>
                <w:szCs w:val="21"/>
              </w:rPr>
              <w:t>总人数</w:t>
            </w:r>
          </w:p>
        </w:tc>
        <w:tc>
          <w:tcPr>
            <w:tcW w:w="752" w:type="dxa"/>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spacing w:before="0"/>
              <w:ind w:left="0" w:right="0"/>
              <w:rPr>
                <w:sz w:val="21"/>
                <w:szCs w:val="21"/>
              </w:rPr>
            </w:pPr>
            <w:r>
              <w:rPr>
                <w:rFonts w:hint="eastAsia"/>
                <w:sz w:val="21"/>
                <w:szCs w:val="21"/>
              </w:rPr>
              <w:t>备注</w:t>
            </w:r>
          </w:p>
        </w:tc>
      </w:tr>
      <w:tr>
        <w:tblPrEx>
          <w:tblCellMar>
            <w:top w:w="0" w:type="dxa"/>
            <w:left w:w="0" w:type="dxa"/>
            <w:bottom w:w="0" w:type="dxa"/>
            <w:right w:w="0" w:type="dxa"/>
          </w:tblCellMar>
        </w:tblPrEx>
        <w:trPr>
          <w:trHeight w:val="566" w:hRule="atLeast"/>
        </w:trPr>
        <w:tc>
          <w:tcPr>
            <w:tcW w:w="132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pacing w:before="4"/>
              <w:rPr>
                <w:rFonts w:ascii="黑体" w:eastAsia="黑体" w:cs="黑体"/>
                <w:sz w:val="2"/>
                <w:szCs w:val="2"/>
              </w:rPr>
            </w:pP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spacing w:before="145"/>
              <w:ind w:left="13"/>
              <w:rPr>
                <w:sz w:val="21"/>
                <w:szCs w:val="21"/>
              </w:rPr>
            </w:pPr>
            <w:r>
              <w:rPr>
                <w:sz w:val="21"/>
                <w:szCs w:val="21"/>
              </w:rPr>
              <w:t>1</w:t>
            </w:r>
          </w:p>
        </w:tc>
        <w:tc>
          <w:tcPr>
            <w:tcW w:w="3614" w:type="dxa"/>
            <w:gridSpan w:val="4"/>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rPr>
                <w:rFonts w:ascii="Times New Roman" w:eastAsia="等线"/>
                <w:sz w:val="20"/>
                <w:szCs w:val="20"/>
              </w:rPr>
            </w:pPr>
          </w:p>
        </w:tc>
        <w:tc>
          <w:tcPr>
            <w:tcW w:w="1321" w:type="dxa"/>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rPr>
                <w:rFonts w:ascii="Times New Roman" w:eastAsia="等线"/>
                <w:sz w:val="20"/>
                <w:szCs w:val="20"/>
              </w:rPr>
            </w:pPr>
          </w:p>
        </w:tc>
        <w:tc>
          <w:tcPr>
            <w:tcW w:w="854" w:type="dxa"/>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rPr>
                <w:rFonts w:ascii="Times New Roman" w:eastAsia="等线"/>
                <w:sz w:val="20"/>
                <w:szCs w:val="20"/>
              </w:rPr>
            </w:pPr>
          </w:p>
        </w:tc>
        <w:tc>
          <w:tcPr>
            <w:tcW w:w="856" w:type="dxa"/>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rPr>
                <w:rFonts w:ascii="Times New Roman" w:eastAsia="等线"/>
                <w:sz w:val="20"/>
                <w:szCs w:val="20"/>
              </w:rPr>
            </w:pPr>
          </w:p>
        </w:tc>
        <w:tc>
          <w:tcPr>
            <w:tcW w:w="752" w:type="dxa"/>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rPr>
                <w:rFonts w:ascii="Times New Roman" w:eastAsia="等线"/>
                <w:sz w:val="20"/>
                <w:szCs w:val="20"/>
              </w:rPr>
            </w:pPr>
          </w:p>
        </w:tc>
      </w:tr>
      <w:tr>
        <w:tblPrEx>
          <w:tblCellMar>
            <w:top w:w="0" w:type="dxa"/>
            <w:left w:w="0" w:type="dxa"/>
            <w:bottom w:w="0" w:type="dxa"/>
            <w:right w:w="0" w:type="dxa"/>
          </w:tblCellMar>
        </w:tblPrEx>
        <w:trPr>
          <w:trHeight w:val="565" w:hRule="atLeast"/>
        </w:trPr>
        <w:tc>
          <w:tcPr>
            <w:tcW w:w="132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pacing w:before="4"/>
              <w:rPr>
                <w:rFonts w:ascii="黑体" w:eastAsia="黑体" w:cs="黑体"/>
                <w:sz w:val="2"/>
                <w:szCs w:val="2"/>
              </w:rPr>
            </w:pP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spacing w:before="145"/>
              <w:ind w:left="13"/>
              <w:rPr>
                <w:sz w:val="21"/>
                <w:szCs w:val="21"/>
              </w:rPr>
            </w:pPr>
            <w:r>
              <w:rPr>
                <w:sz w:val="21"/>
                <w:szCs w:val="21"/>
              </w:rPr>
              <w:t>2</w:t>
            </w:r>
          </w:p>
        </w:tc>
        <w:tc>
          <w:tcPr>
            <w:tcW w:w="3614" w:type="dxa"/>
            <w:gridSpan w:val="4"/>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rPr>
                <w:rFonts w:ascii="Times New Roman" w:eastAsia="等线"/>
                <w:sz w:val="20"/>
                <w:szCs w:val="20"/>
              </w:rPr>
            </w:pPr>
          </w:p>
        </w:tc>
        <w:tc>
          <w:tcPr>
            <w:tcW w:w="1321" w:type="dxa"/>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rPr>
                <w:rFonts w:ascii="Times New Roman" w:eastAsia="等线"/>
                <w:sz w:val="20"/>
                <w:szCs w:val="20"/>
              </w:rPr>
            </w:pPr>
          </w:p>
        </w:tc>
        <w:tc>
          <w:tcPr>
            <w:tcW w:w="854" w:type="dxa"/>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rPr>
                <w:rFonts w:ascii="Times New Roman" w:eastAsia="等线"/>
                <w:sz w:val="20"/>
                <w:szCs w:val="20"/>
              </w:rPr>
            </w:pPr>
          </w:p>
        </w:tc>
        <w:tc>
          <w:tcPr>
            <w:tcW w:w="856" w:type="dxa"/>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rPr>
                <w:rFonts w:ascii="Times New Roman" w:eastAsia="等线"/>
                <w:sz w:val="20"/>
                <w:szCs w:val="20"/>
              </w:rPr>
            </w:pPr>
          </w:p>
        </w:tc>
        <w:tc>
          <w:tcPr>
            <w:tcW w:w="752" w:type="dxa"/>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rPr>
                <w:rFonts w:ascii="Times New Roman" w:eastAsia="等线"/>
                <w:sz w:val="20"/>
                <w:szCs w:val="20"/>
              </w:rPr>
            </w:pPr>
          </w:p>
        </w:tc>
      </w:tr>
      <w:tr>
        <w:tblPrEx>
          <w:tblCellMar>
            <w:top w:w="0" w:type="dxa"/>
            <w:left w:w="0" w:type="dxa"/>
            <w:bottom w:w="0" w:type="dxa"/>
            <w:right w:w="0" w:type="dxa"/>
          </w:tblCellMar>
        </w:tblPrEx>
        <w:trPr>
          <w:trHeight w:val="568" w:hRule="atLeast"/>
        </w:trPr>
        <w:tc>
          <w:tcPr>
            <w:tcW w:w="132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pacing w:before="4"/>
              <w:rPr>
                <w:rFonts w:ascii="黑体" w:eastAsia="黑体" w:cs="黑体"/>
                <w:sz w:val="2"/>
                <w:szCs w:val="2"/>
              </w:rPr>
            </w:pP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spacing w:before="147"/>
              <w:ind w:left="13"/>
              <w:rPr>
                <w:sz w:val="21"/>
                <w:szCs w:val="21"/>
              </w:rPr>
            </w:pPr>
            <w:r>
              <w:rPr>
                <w:sz w:val="21"/>
                <w:szCs w:val="21"/>
              </w:rPr>
              <w:t>3</w:t>
            </w:r>
          </w:p>
        </w:tc>
        <w:tc>
          <w:tcPr>
            <w:tcW w:w="3614" w:type="dxa"/>
            <w:gridSpan w:val="4"/>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rPr>
                <w:rFonts w:ascii="Times New Roman" w:eastAsia="等线"/>
                <w:sz w:val="20"/>
                <w:szCs w:val="20"/>
              </w:rPr>
            </w:pPr>
          </w:p>
        </w:tc>
        <w:tc>
          <w:tcPr>
            <w:tcW w:w="1321" w:type="dxa"/>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rPr>
                <w:rFonts w:ascii="Times New Roman" w:eastAsia="等线"/>
                <w:sz w:val="20"/>
                <w:szCs w:val="20"/>
              </w:rPr>
            </w:pPr>
          </w:p>
        </w:tc>
        <w:tc>
          <w:tcPr>
            <w:tcW w:w="854" w:type="dxa"/>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rPr>
                <w:rFonts w:ascii="Times New Roman" w:eastAsia="等线"/>
                <w:sz w:val="20"/>
                <w:szCs w:val="20"/>
              </w:rPr>
            </w:pPr>
          </w:p>
        </w:tc>
        <w:tc>
          <w:tcPr>
            <w:tcW w:w="856" w:type="dxa"/>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rPr>
                <w:rFonts w:ascii="Times New Roman" w:eastAsia="等线"/>
                <w:sz w:val="20"/>
                <w:szCs w:val="20"/>
              </w:rPr>
            </w:pPr>
          </w:p>
        </w:tc>
        <w:tc>
          <w:tcPr>
            <w:tcW w:w="752" w:type="dxa"/>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rPr>
                <w:rFonts w:ascii="Times New Roman" w:eastAsia="等线"/>
                <w:sz w:val="20"/>
                <w:szCs w:val="20"/>
              </w:rPr>
            </w:pPr>
          </w:p>
        </w:tc>
      </w:tr>
      <w:tr>
        <w:tblPrEx>
          <w:tblCellMar>
            <w:top w:w="0" w:type="dxa"/>
            <w:left w:w="0" w:type="dxa"/>
            <w:bottom w:w="0" w:type="dxa"/>
            <w:right w:w="0" w:type="dxa"/>
          </w:tblCellMar>
        </w:tblPrEx>
        <w:trPr>
          <w:trHeight w:val="565" w:hRule="atLeast"/>
        </w:trPr>
        <w:tc>
          <w:tcPr>
            <w:tcW w:w="1322" w:type="dxa"/>
            <w:vMerge w:val="restart"/>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ind w:left="242"/>
              <w:rPr>
                <w:sz w:val="21"/>
                <w:szCs w:val="21"/>
              </w:rPr>
            </w:pPr>
            <w:r>
              <w:rPr>
                <w:rFonts w:hint="eastAsia"/>
                <w:sz w:val="21"/>
                <w:szCs w:val="21"/>
              </w:rPr>
              <w:t>其他获奖</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spacing w:before="145"/>
              <w:ind w:left="13"/>
              <w:rPr>
                <w:sz w:val="21"/>
                <w:szCs w:val="21"/>
              </w:rPr>
            </w:pPr>
            <w:r>
              <w:rPr>
                <w:sz w:val="21"/>
                <w:szCs w:val="21"/>
              </w:rPr>
              <w:t>1</w:t>
            </w:r>
          </w:p>
        </w:tc>
        <w:tc>
          <w:tcPr>
            <w:tcW w:w="3614" w:type="dxa"/>
            <w:gridSpan w:val="4"/>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rPr>
                <w:rFonts w:ascii="Times New Roman" w:eastAsia="等线"/>
                <w:sz w:val="20"/>
                <w:szCs w:val="20"/>
              </w:rPr>
            </w:pPr>
          </w:p>
        </w:tc>
        <w:tc>
          <w:tcPr>
            <w:tcW w:w="1321" w:type="dxa"/>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rPr>
                <w:rFonts w:ascii="Times New Roman" w:eastAsia="等线"/>
                <w:sz w:val="20"/>
                <w:szCs w:val="20"/>
              </w:rPr>
            </w:pPr>
          </w:p>
        </w:tc>
        <w:tc>
          <w:tcPr>
            <w:tcW w:w="854" w:type="dxa"/>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rPr>
                <w:rFonts w:ascii="Times New Roman" w:eastAsia="等线"/>
                <w:sz w:val="20"/>
                <w:szCs w:val="20"/>
              </w:rPr>
            </w:pPr>
          </w:p>
        </w:tc>
        <w:tc>
          <w:tcPr>
            <w:tcW w:w="856" w:type="dxa"/>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rPr>
                <w:rFonts w:ascii="Times New Roman" w:eastAsia="等线"/>
                <w:sz w:val="20"/>
                <w:szCs w:val="20"/>
              </w:rPr>
            </w:pPr>
          </w:p>
        </w:tc>
        <w:tc>
          <w:tcPr>
            <w:tcW w:w="752" w:type="dxa"/>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rPr>
                <w:rFonts w:ascii="Times New Roman" w:eastAsia="等线"/>
                <w:sz w:val="20"/>
                <w:szCs w:val="20"/>
              </w:rPr>
            </w:pPr>
          </w:p>
        </w:tc>
      </w:tr>
      <w:tr>
        <w:tblPrEx>
          <w:tblCellMar>
            <w:top w:w="0" w:type="dxa"/>
            <w:left w:w="0" w:type="dxa"/>
            <w:bottom w:w="0" w:type="dxa"/>
            <w:right w:w="0" w:type="dxa"/>
          </w:tblCellMar>
        </w:tblPrEx>
        <w:trPr>
          <w:trHeight w:val="568" w:hRule="atLeast"/>
        </w:trPr>
        <w:tc>
          <w:tcPr>
            <w:tcW w:w="132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pacing w:before="4"/>
              <w:rPr>
                <w:rFonts w:ascii="黑体" w:eastAsia="黑体" w:cs="黑体"/>
                <w:sz w:val="2"/>
                <w:szCs w:val="2"/>
              </w:rPr>
            </w:pP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spacing w:before="147"/>
              <w:ind w:left="13"/>
              <w:rPr>
                <w:sz w:val="21"/>
                <w:szCs w:val="21"/>
              </w:rPr>
            </w:pPr>
            <w:r>
              <w:rPr>
                <w:sz w:val="21"/>
                <w:szCs w:val="21"/>
              </w:rPr>
              <w:t>2</w:t>
            </w:r>
          </w:p>
        </w:tc>
        <w:tc>
          <w:tcPr>
            <w:tcW w:w="3614" w:type="dxa"/>
            <w:gridSpan w:val="4"/>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rPr>
                <w:rFonts w:ascii="Times New Roman" w:eastAsia="等线"/>
                <w:sz w:val="20"/>
                <w:szCs w:val="20"/>
              </w:rPr>
            </w:pPr>
          </w:p>
        </w:tc>
        <w:tc>
          <w:tcPr>
            <w:tcW w:w="1321" w:type="dxa"/>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rPr>
                <w:rFonts w:ascii="Times New Roman" w:eastAsia="等线"/>
                <w:sz w:val="20"/>
                <w:szCs w:val="20"/>
              </w:rPr>
            </w:pPr>
          </w:p>
        </w:tc>
        <w:tc>
          <w:tcPr>
            <w:tcW w:w="854" w:type="dxa"/>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rPr>
                <w:rFonts w:ascii="Times New Roman" w:eastAsia="等线"/>
                <w:sz w:val="20"/>
                <w:szCs w:val="20"/>
              </w:rPr>
            </w:pPr>
          </w:p>
        </w:tc>
        <w:tc>
          <w:tcPr>
            <w:tcW w:w="856" w:type="dxa"/>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rPr>
                <w:rFonts w:ascii="Times New Roman" w:eastAsia="等线"/>
                <w:sz w:val="20"/>
                <w:szCs w:val="20"/>
              </w:rPr>
            </w:pPr>
          </w:p>
        </w:tc>
        <w:tc>
          <w:tcPr>
            <w:tcW w:w="752" w:type="dxa"/>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rPr>
                <w:rFonts w:ascii="Times New Roman" w:eastAsia="等线"/>
                <w:sz w:val="20"/>
                <w:szCs w:val="20"/>
              </w:rPr>
            </w:pPr>
          </w:p>
        </w:tc>
      </w:tr>
      <w:tr>
        <w:tblPrEx>
          <w:tblCellMar>
            <w:top w:w="0" w:type="dxa"/>
            <w:left w:w="0" w:type="dxa"/>
            <w:bottom w:w="0" w:type="dxa"/>
            <w:right w:w="0" w:type="dxa"/>
          </w:tblCellMar>
        </w:tblPrEx>
        <w:trPr>
          <w:trHeight w:val="566" w:hRule="atLeast"/>
        </w:trPr>
        <w:tc>
          <w:tcPr>
            <w:tcW w:w="1322" w:type="dxa"/>
            <w:vMerge w:val="continue"/>
            <w:tcBorders>
              <w:top w:val="nil"/>
              <w:left w:val="single" w:color="000000" w:sz="4" w:space="0"/>
              <w:bottom w:val="single" w:color="000000" w:sz="4" w:space="0"/>
              <w:right w:val="single" w:color="000000" w:sz="4" w:space="0"/>
            </w:tcBorders>
            <w:vAlign w:val="center"/>
          </w:tcPr>
          <w:p>
            <w:pPr>
              <w:pStyle w:val="3"/>
              <w:kinsoku w:val="0"/>
              <w:overflowPunct w:val="0"/>
              <w:spacing w:before="4"/>
              <w:rPr>
                <w:rFonts w:ascii="黑体" w:eastAsia="黑体" w:cs="黑体"/>
                <w:sz w:val="2"/>
                <w:szCs w:val="2"/>
              </w:rPr>
            </w:pP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spacing w:before="145"/>
              <w:ind w:left="13"/>
              <w:rPr>
                <w:sz w:val="21"/>
                <w:szCs w:val="21"/>
              </w:rPr>
            </w:pPr>
            <w:r>
              <w:rPr>
                <w:sz w:val="21"/>
                <w:szCs w:val="21"/>
              </w:rPr>
              <w:t>3</w:t>
            </w:r>
          </w:p>
        </w:tc>
        <w:tc>
          <w:tcPr>
            <w:tcW w:w="3614" w:type="dxa"/>
            <w:gridSpan w:val="4"/>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rPr>
                <w:rFonts w:ascii="Times New Roman" w:eastAsia="等线"/>
                <w:sz w:val="20"/>
                <w:szCs w:val="20"/>
              </w:rPr>
            </w:pPr>
          </w:p>
        </w:tc>
        <w:tc>
          <w:tcPr>
            <w:tcW w:w="1321" w:type="dxa"/>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rPr>
                <w:rFonts w:ascii="Times New Roman" w:eastAsia="等线"/>
                <w:sz w:val="20"/>
                <w:szCs w:val="20"/>
              </w:rPr>
            </w:pPr>
          </w:p>
        </w:tc>
        <w:tc>
          <w:tcPr>
            <w:tcW w:w="854" w:type="dxa"/>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rPr>
                <w:rFonts w:ascii="Times New Roman" w:eastAsia="等线"/>
                <w:sz w:val="20"/>
                <w:szCs w:val="20"/>
              </w:rPr>
            </w:pPr>
          </w:p>
        </w:tc>
        <w:tc>
          <w:tcPr>
            <w:tcW w:w="856" w:type="dxa"/>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rPr>
                <w:rFonts w:ascii="Times New Roman" w:eastAsia="等线"/>
                <w:sz w:val="20"/>
                <w:szCs w:val="20"/>
              </w:rPr>
            </w:pPr>
          </w:p>
        </w:tc>
        <w:tc>
          <w:tcPr>
            <w:tcW w:w="752" w:type="dxa"/>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rPr>
                <w:rFonts w:ascii="Times New Roman" w:eastAsia="等线"/>
                <w:sz w:val="20"/>
                <w:szCs w:val="20"/>
              </w:rPr>
            </w:pPr>
          </w:p>
        </w:tc>
      </w:tr>
      <w:tr>
        <w:tblPrEx>
          <w:tblCellMar>
            <w:top w:w="0" w:type="dxa"/>
            <w:left w:w="0" w:type="dxa"/>
            <w:bottom w:w="0" w:type="dxa"/>
            <w:right w:w="0" w:type="dxa"/>
          </w:tblCellMar>
        </w:tblPrEx>
        <w:trPr>
          <w:trHeight w:val="992" w:hRule="atLeast"/>
        </w:trPr>
        <w:tc>
          <w:tcPr>
            <w:tcW w:w="1322" w:type="dxa"/>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spacing w:before="111" w:line="249" w:lineRule="auto"/>
              <w:ind w:left="136" w:right="119"/>
              <w:rPr>
                <w:sz w:val="21"/>
                <w:szCs w:val="21"/>
              </w:rPr>
            </w:pPr>
            <w:r>
              <w:rPr>
                <w:rFonts w:hint="eastAsia"/>
                <w:sz w:val="21"/>
                <w:szCs w:val="21"/>
              </w:rPr>
              <w:t>参加科技创新实践受表彰情况</w:t>
            </w:r>
          </w:p>
        </w:tc>
        <w:tc>
          <w:tcPr>
            <w:tcW w:w="8143" w:type="dxa"/>
            <w:gridSpan w:val="9"/>
            <w:tcBorders>
              <w:top w:val="single" w:color="000000" w:sz="4" w:space="0"/>
              <w:left w:val="single" w:color="000000" w:sz="4" w:space="0"/>
              <w:bottom w:val="single" w:color="000000" w:sz="4" w:space="0"/>
              <w:right w:val="single" w:color="000000" w:sz="4" w:space="0"/>
            </w:tcBorders>
            <w:vAlign w:val="center"/>
          </w:tcPr>
          <w:p>
            <w:pPr>
              <w:pStyle w:val="13"/>
              <w:kinsoku w:val="0"/>
              <w:overflowPunct w:val="0"/>
              <w:rPr>
                <w:rFonts w:ascii="Times New Roman" w:eastAsia="等线"/>
                <w:sz w:val="20"/>
                <w:szCs w:val="20"/>
              </w:rPr>
            </w:pPr>
          </w:p>
        </w:tc>
      </w:tr>
      <w:tr>
        <w:tblPrEx>
          <w:tblCellMar>
            <w:top w:w="0" w:type="dxa"/>
            <w:left w:w="0" w:type="dxa"/>
            <w:bottom w:w="0" w:type="dxa"/>
            <w:right w:w="0" w:type="dxa"/>
          </w:tblCellMar>
        </w:tblPrEx>
        <w:trPr>
          <w:trHeight w:val="2946" w:hRule="atLeast"/>
        </w:trPr>
        <w:tc>
          <w:tcPr>
            <w:tcW w:w="9465" w:type="dxa"/>
            <w:gridSpan w:val="10"/>
            <w:tcBorders>
              <w:top w:val="single" w:color="000000" w:sz="4" w:space="0"/>
              <w:left w:val="single" w:color="000000" w:sz="4" w:space="0"/>
              <w:bottom w:val="double" w:color="000000" w:sz="2" w:space="0"/>
              <w:right w:val="single" w:color="000000" w:sz="4" w:space="0"/>
            </w:tcBorders>
            <w:vAlign w:val="center"/>
          </w:tcPr>
          <w:p>
            <w:pPr>
              <w:pStyle w:val="13"/>
              <w:kinsoku w:val="0"/>
              <w:overflowPunct w:val="0"/>
              <w:spacing w:before="67" w:line="175" w:lineRule="auto"/>
              <w:ind w:left="107" w:right="-15"/>
              <w:jc w:val="left"/>
              <w:rPr>
                <w:rFonts w:ascii="Microsoft JhengHei" w:eastAsia="Microsoft JhengHei" w:cs="Microsoft JhengHei"/>
                <w:b/>
                <w:bCs/>
                <w:spacing w:val="-9"/>
                <w:sz w:val="21"/>
                <w:szCs w:val="21"/>
              </w:rPr>
            </w:pPr>
            <w:r>
              <w:rPr>
                <w:rFonts w:hint="eastAsia" w:ascii="Microsoft JhengHei" w:eastAsia="Microsoft JhengHei" w:cs="Microsoft JhengHei"/>
                <w:b/>
                <w:bCs/>
                <w:spacing w:val="-10"/>
                <w:sz w:val="21"/>
                <w:szCs w:val="21"/>
              </w:rPr>
              <w:t>诚信承诺：</w:t>
            </w:r>
            <w:r>
              <w:rPr>
                <w:rFonts w:hint="eastAsia" w:ascii="等线" w:hAnsi="等线" w:eastAsia="等线" w:cs="Microsoft JhengHei"/>
                <w:b/>
                <w:bCs/>
                <w:spacing w:val="-10"/>
                <w:sz w:val="21"/>
                <w:szCs w:val="21"/>
              </w:rPr>
              <w:t>本人承诺所</w:t>
            </w:r>
            <w:r>
              <w:rPr>
                <w:rFonts w:hint="eastAsia" w:ascii="Microsoft JhengHei" w:eastAsia="Microsoft JhengHei" w:cs="Microsoft JhengHei"/>
                <w:b/>
                <w:bCs/>
                <w:spacing w:val="-10"/>
                <w:sz w:val="21"/>
                <w:szCs w:val="21"/>
              </w:rPr>
              <w:t>填写内容</w:t>
            </w:r>
            <w:r>
              <w:rPr>
                <w:rFonts w:hint="eastAsia" w:ascii="等线" w:hAnsi="等线" w:eastAsia="等线" w:cs="Microsoft JhengHei"/>
                <w:b/>
                <w:bCs/>
                <w:spacing w:val="-10"/>
                <w:sz w:val="21"/>
                <w:szCs w:val="21"/>
              </w:rPr>
              <w:t>真实有效、所</w:t>
            </w:r>
            <w:r>
              <w:rPr>
                <w:rFonts w:hint="eastAsia" w:ascii="Microsoft JhengHei" w:eastAsia="Microsoft JhengHei" w:cs="Microsoft JhengHei"/>
                <w:b/>
                <w:bCs/>
                <w:spacing w:val="-10"/>
                <w:sz w:val="21"/>
                <w:szCs w:val="21"/>
              </w:rPr>
              <w:t>提交的佐证材料均真实准确</w:t>
            </w:r>
            <w:r>
              <w:rPr>
                <w:rFonts w:hint="eastAsia" w:ascii="等线" w:hAnsi="等线" w:eastAsia="等线" w:cs="Microsoft JhengHei"/>
                <w:b/>
                <w:bCs/>
                <w:spacing w:val="-10"/>
                <w:sz w:val="21"/>
                <w:szCs w:val="21"/>
              </w:rPr>
              <w:t>。</w:t>
            </w:r>
            <w:r>
              <w:rPr>
                <w:rFonts w:hint="eastAsia" w:ascii="Microsoft JhengHei" w:eastAsia="Microsoft JhengHei" w:cs="Microsoft JhengHei"/>
                <w:b/>
                <w:bCs/>
                <w:spacing w:val="-10"/>
                <w:sz w:val="21"/>
                <w:szCs w:val="21"/>
              </w:rPr>
              <w:t>若由于就业</w:t>
            </w:r>
            <w:r>
              <w:rPr>
                <w:rFonts w:hint="eastAsia" w:ascii="等线" w:hAnsi="等线" w:eastAsia="等线" w:cs="Microsoft JhengHei"/>
                <w:b/>
                <w:bCs/>
                <w:spacing w:val="-10"/>
                <w:sz w:val="21"/>
                <w:szCs w:val="21"/>
              </w:rPr>
              <w:t>、</w:t>
            </w:r>
            <w:r>
              <w:rPr>
                <w:rFonts w:hint="eastAsia" w:ascii="Microsoft JhengHei" w:eastAsia="Microsoft JhengHei" w:cs="Microsoft JhengHei"/>
                <w:b/>
                <w:bCs/>
                <w:spacing w:val="-10"/>
                <w:sz w:val="21"/>
                <w:szCs w:val="21"/>
              </w:rPr>
              <w:t>出国等原因放弃推免</w:t>
            </w:r>
            <w:r>
              <w:rPr>
                <w:rFonts w:hint="eastAsia" w:ascii="等线" w:hAnsi="等线" w:eastAsia="等线" w:cs="Microsoft JhengHei"/>
                <w:b/>
                <w:bCs/>
                <w:spacing w:val="-10"/>
                <w:sz w:val="21"/>
                <w:szCs w:val="21"/>
              </w:rPr>
              <w:t>，</w:t>
            </w:r>
            <w:r>
              <w:rPr>
                <w:rFonts w:hint="eastAsia" w:ascii="Microsoft JhengHei" w:eastAsia="Microsoft JhengHei" w:cs="Microsoft JhengHei"/>
                <w:b/>
                <w:bCs/>
                <w:spacing w:val="-10"/>
                <w:sz w:val="21"/>
                <w:szCs w:val="21"/>
              </w:rPr>
              <w:t>会提前提出</w:t>
            </w:r>
            <w:r>
              <w:rPr>
                <w:rFonts w:hint="eastAsia" w:ascii="等线" w:hAnsi="等线" w:eastAsia="等线" w:cs="Microsoft JhengHei"/>
                <w:b/>
                <w:bCs/>
                <w:spacing w:val="-10"/>
                <w:sz w:val="21"/>
                <w:szCs w:val="21"/>
              </w:rPr>
              <w:t>，</w:t>
            </w:r>
            <w:r>
              <w:rPr>
                <w:rFonts w:hint="eastAsia" w:ascii="Microsoft JhengHei" w:eastAsia="Microsoft JhengHei" w:cs="Microsoft JhengHei"/>
                <w:b/>
                <w:bCs/>
                <w:spacing w:val="-9"/>
                <w:sz w:val="21"/>
                <w:szCs w:val="21"/>
              </w:rPr>
              <w:t>不会导致推免名额作废</w:t>
            </w:r>
            <w:r>
              <w:rPr>
                <w:rFonts w:hint="eastAsia" w:ascii="等线" w:hAnsi="等线" w:eastAsia="等线" w:cs="Microsoft JhengHei"/>
                <w:b/>
                <w:bCs/>
                <w:spacing w:val="-9"/>
                <w:sz w:val="21"/>
                <w:szCs w:val="21"/>
              </w:rPr>
              <w:t>。</w:t>
            </w:r>
          </w:p>
          <w:p>
            <w:pPr>
              <w:pStyle w:val="13"/>
              <w:kinsoku w:val="0"/>
              <w:overflowPunct w:val="0"/>
              <w:spacing w:before="10"/>
              <w:rPr>
                <w:rFonts w:ascii="黑体" w:eastAsia="黑体" w:cs="黑体"/>
                <w:sz w:val="27"/>
                <w:szCs w:val="27"/>
              </w:rPr>
            </w:pPr>
          </w:p>
          <w:p>
            <w:pPr>
              <w:pStyle w:val="13"/>
              <w:tabs>
                <w:tab w:val="left" w:pos="9221"/>
              </w:tabs>
              <w:kinsoku w:val="0"/>
              <w:overflowPunct w:val="0"/>
              <w:spacing w:before="1"/>
              <w:ind w:left="107"/>
              <w:rPr>
                <w:rFonts w:ascii="Times New Roman" w:eastAsia="Microsoft JhengHei"/>
                <w:b/>
                <w:bCs/>
                <w:sz w:val="21"/>
                <w:szCs w:val="21"/>
              </w:rPr>
            </w:pPr>
            <w:r>
              <w:rPr>
                <w:rFonts w:hint="eastAsia" w:ascii="Microsoft JhengHei" w:eastAsia="Microsoft JhengHei" w:cs="Microsoft JhengHei"/>
                <w:b/>
                <w:bCs/>
                <w:spacing w:val="-1"/>
                <w:sz w:val="21"/>
                <w:szCs w:val="21"/>
              </w:rPr>
              <w:t>提</w:t>
            </w:r>
            <w:r>
              <w:rPr>
                <w:rFonts w:hint="eastAsia" w:ascii="Microsoft JhengHei" w:eastAsia="Microsoft JhengHei" w:cs="Microsoft JhengHei"/>
                <w:b/>
                <w:bCs/>
                <w:sz w:val="21"/>
                <w:szCs w:val="21"/>
              </w:rPr>
              <w:t>交的佐证材料有：</w:t>
            </w:r>
            <w:r>
              <w:rPr>
                <w:rFonts w:ascii="Times New Roman" w:eastAsia="Microsoft JhengHei"/>
                <w:b/>
                <w:bCs/>
                <w:sz w:val="21"/>
                <w:szCs w:val="21"/>
                <w:u w:val="single"/>
              </w:rPr>
              <w:t xml:space="preserve"> </w:t>
            </w:r>
            <w:r>
              <w:rPr>
                <w:rFonts w:ascii="Times New Roman" w:eastAsia="Microsoft JhengHei"/>
                <w:b/>
                <w:bCs/>
                <w:sz w:val="21"/>
                <w:szCs w:val="21"/>
                <w:u w:val="single"/>
              </w:rPr>
              <w:tab/>
            </w:r>
          </w:p>
          <w:p>
            <w:pPr>
              <w:pStyle w:val="13"/>
              <w:kinsoku w:val="0"/>
              <w:overflowPunct w:val="0"/>
              <w:spacing w:before="240" w:after="1"/>
              <w:ind w:left="561" w:right="556"/>
              <w:rPr>
                <w:rFonts w:ascii="黑体" w:eastAsia="黑体" w:cs="黑体"/>
                <w:sz w:val="29"/>
                <w:szCs w:val="29"/>
              </w:rPr>
            </w:pPr>
          </w:p>
          <w:p>
            <w:pPr>
              <w:pStyle w:val="13"/>
              <w:kinsoku w:val="0"/>
              <w:overflowPunct w:val="0"/>
              <w:spacing w:line="20" w:lineRule="exact"/>
              <w:ind w:left="101"/>
              <w:rPr>
                <w:rFonts w:ascii="黑体" w:eastAsia="黑体" w:cs="黑体"/>
                <w:sz w:val="2"/>
                <w:szCs w:val="2"/>
              </w:rPr>
            </w:pPr>
            <w:r>
              <w:rPr>
                <w:rFonts w:ascii="黑体" w:eastAsia="黑体" w:cs="黑体"/>
                <w:sz w:val="2"/>
                <w:szCs w:val="2"/>
              </w:rPr>
              <mc:AlternateContent>
                <mc:Choice Requires="wpg">
                  <w:drawing>
                    <wp:inline distT="0" distB="0" distL="0" distR="0">
                      <wp:extent cx="5690235" cy="12700"/>
                      <wp:effectExtent l="8255" t="5715" r="6985" b="635"/>
                      <wp:docPr id="1" name="组合 2"/>
                      <wp:cNvGraphicFramePr/>
                      <a:graphic xmlns:a="http://schemas.openxmlformats.org/drawingml/2006/main">
                        <a:graphicData uri="http://schemas.microsoft.com/office/word/2010/wordprocessingGroup">
                          <wpg:wgp>
                            <wpg:cNvGrpSpPr/>
                            <wpg:grpSpPr>
                              <a:xfrm>
                                <a:off x="0" y="0"/>
                                <a:ext cx="5690235" cy="12700"/>
                                <a:chOff x="0" y="0"/>
                                <a:chExt cx="8961" cy="20"/>
                              </a:xfrm>
                            </wpg:grpSpPr>
                            <wps:wsp>
                              <wps:cNvPr id="2" name="任意多边形 3"/>
                              <wps:cNvSpPr/>
                              <wps:spPr bwMode="auto">
                                <a:xfrm>
                                  <a:off x="0" y="5"/>
                                  <a:ext cx="8961" cy="20"/>
                                </a:xfrm>
                                <a:custGeom>
                                  <a:avLst/>
                                  <a:gdLst>
                                    <a:gd name="T0" fmla="*/ 0 w 8961"/>
                                    <a:gd name="T1" fmla="*/ 0 h 20"/>
                                    <a:gd name="T2" fmla="*/ 8960 w 8961"/>
                                    <a:gd name="T3" fmla="*/ 0 h 20"/>
                                  </a:gdLst>
                                  <a:ahLst/>
                                  <a:cxnLst>
                                    <a:cxn ang="0">
                                      <a:pos x="T0" y="T1"/>
                                    </a:cxn>
                                    <a:cxn ang="0">
                                      <a:pos x="T2" y="T3"/>
                                    </a:cxn>
                                  </a:cxnLst>
                                  <a:rect l="0" t="0" r="r" b="b"/>
                                  <a:pathLst>
                                    <a:path w="8961" h="20">
                                      <a:moveTo>
                                        <a:pt x="0" y="0"/>
                                      </a:moveTo>
                                      <a:lnTo>
                                        <a:pt x="8960" y="0"/>
                                      </a:lnTo>
                                    </a:path>
                                  </a:pathLst>
                                </a:custGeom>
                                <a:noFill/>
                                <a:ln w="7619" cmpd="sng">
                                  <a:solidFill>
                                    <a:srgbClr val="000000"/>
                                  </a:solidFill>
                                  <a:round/>
                                </a:ln>
                              </wps:spPr>
                              <wps:bodyPr rot="0" vert="horz" wrap="square" lIns="91440" tIns="45720" rIns="91440" bIns="45720" anchor="t" anchorCtr="0" upright="1">
                                <a:noAutofit/>
                              </wps:bodyPr>
                            </wps:wsp>
                          </wpg:wgp>
                        </a:graphicData>
                      </a:graphic>
                    </wp:inline>
                  </w:drawing>
                </mc:Choice>
                <mc:Fallback>
                  <w:pict>
                    <v:group id="组合 2" o:spid="_x0000_s1026" o:spt="203" style="height:1pt;width:448.05pt;" coordsize="8961,20" o:gfxdata="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C4Qv/V1QAAAAMBAAAP&#10;AAAAAAAAAAEAIAAAACIAAABkcnMvZG93bnJldi54bWxQSwECFAAUAAAACACHTuJAxtvLW/8CAACm&#10;BgAADgAAAAAAAAABACAAAAAkAQAAZHJzL2Uyb0RvYy54bWxQSwUGAAAAAAYABgBZAQAAlQYAAAAA&#10;">
                      <o:lock v:ext="edit" aspectratio="f"/>
                      <v:shape id="任意多边形 3" o:spid="_x0000_s1026" o:spt="100" style="position:absolute;left:0;top:5;height:20;width:8961;" filled="f" stroked="t" coordsize="8961,20" o:gfxdata="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YLusLgAAADaAAAA&#10;DwAAAAAAAAABACAAAAAiAAAAZHJzL2Rvd25yZXYueG1sUEsBAhQAFAAAAAgAh07iQDMvBZ47AAAA&#10;OQAAABAAAAAAAAAAAQAgAAAABwEAAGRycy9zaGFwZXhtbC54bWxQSwUGAAAAAAYABgBbAQAAsQMA&#10;AAAA&#10;" path="m0,0l8960,0e">
                        <v:path o:connectlocs="0,0;8960,0" o:connectangles="0,0"/>
                        <v:fill on="f" focussize="0,0"/>
                        <v:stroke weight="0.59992125984252pt" color="#000000" joinstyle="round"/>
                        <v:imagedata o:title=""/>
                        <o:lock v:ext="edit" aspectratio="f"/>
                      </v:shape>
                      <w10:wrap type="none"/>
                      <w10:anchorlock/>
                    </v:group>
                  </w:pict>
                </mc:Fallback>
              </mc:AlternateContent>
            </w:r>
          </w:p>
          <w:p>
            <w:pPr>
              <w:pStyle w:val="13"/>
              <w:tabs>
                <w:tab w:val="left" w:pos="7472"/>
              </w:tabs>
              <w:kinsoku w:val="0"/>
              <w:overflowPunct w:val="0"/>
              <w:spacing w:before="168"/>
              <w:ind w:left="4682"/>
              <w:rPr>
                <w:rFonts w:ascii="Times New Roman" w:eastAsia="Microsoft JhengHei"/>
                <w:b/>
                <w:bCs/>
                <w:sz w:val="21"/>
                <w:szCs w:val="21"/>
              </w:rPr>
            </w:pPr>
            <w:r>
              <w:rPr>
                <w:rFonts w:hint="eastAsia" w:ascii="Microsoft JhengHei" w:eastAsia="Microsoft JhengHei" w:cs="Microsoft JhengHei"/>
                <w:b/>
                <w:bCs/>
                <w:sz w:val="21"/>
                <w:szCs w:val="21"/>
              </w:rPr>
              <w:t>申请人</w:t>
            </w:r>
            <w:r>
              <w:rPr>
                <w:rFonts w:hint="eastAsia" w:ascii="Microsoft JhengHei" w:eastAsia="Microsoft JhengHei" w:cs="Microsoft JhengHei"/>
                <w:b/>
                <w:bCs/>
                <w:spacing w:val="-3"/>
                <w:sz w:val="21"/>
                <w:szCs w:val="21"/>
              </w:rPr>
              <w:t>签</w:t>
            </w:r>
            <w:r>
              <w:rPr>
                <w:rFonts w:hint="eastAsia" w:ascii="Microsoft JhengHei" w:eastAsia="Microsoft JhengHei" w:cs="Microsoft JhengHei"/>
                <w:b/>
                <w:bCs/>
                <w:sz w:val="21"/>
                <w:szCs w:val="21"/>
              </w:rPr>
              <w:t>名</w:t>
            </w:r>
            <w:r>
              <w:rPr>
                <w:rFonts w:hint="eastAsia" w:ascii="Microsoft JhengHei" w:eastAsia="Microsoft JhengHei" w:cs="Microsoft JhengHei"/>
                <w:b/>
                <w:bCs/>
                <w:spacing w:val="-3"/>
                <w:sz w:val="21"/>
                <w:szCs w:val="21"/>
              </w:rPr>
              <w:t>：</w:t>
            </w:r>
            <w:r>
              <w:rPr>
                <w:rFonts w:ascii="Times New Roman" w:eastAsia="Microsoft JhengHei"/>
                <w:b/>
                <w:bCs/>
                <w:sz w:val="21"/>
                <w:szCs w:val="21"/>
                <w:u w:val="single"/>
              </w:rPr>
              <w:t xml:space="preserve">          </w:t>
            </w:r>
            <w:r>
              <w:rPr>
                <w:rFonts w:ascii="Times New Roman" w:eastAsia="Microsoft JhengHei"/>
                <w:b/>
                <w:bCs/>
                <w:sz w:val="21"/>
                <w:szCs w:val="21"/>
                <w:u w:val="single"/>
              </w:rPr>
              <w:tab/>
            </w:r>
          </w:p>
        </w:tc>
      </w:tr>
      <w:tr>
        <w:tblPrEx>
          <w:tblCellMar>
            <w:top w:w="0" w:type="dxa"/>
            <w:left w:w="0" w:type="dxa"/>
            <w:bottom w:w="0" w:type="dxa"/>
            <w:right w:w="0" w:type="dxa"/>
          </w:tblCellMar>
        </w:tblPrEx>
        <w:trPr>
          <w:trHeight w:val="843" w:hRule="atLeast"/>
        </w:trPr>
        <w:tc>
          <w:tcPr>
            <w:tcW w:w="1322" w:type="dxa"/>
            <w:tcBorders>
              <w:top w:val="double" w:color="000000" w:sz="2" w:space="0"/>
              <w:left w:val="single" w:color="000000" w:sz="4" w:space="0"/>
              <w:bottom w:val="single" w:color="000000" w:sz="4" w:space="0"/>
              <w:right w:val="single" w:color="000000" w:sz="4" w:space="0"/>
            </w:tcBorders>
            <w:vAlign w:val="center"/>
          </w:tcPr>
          <w:p>
            <w:pPr>
              <w:pStyle w:val="13"/>
              <w:kinsoku w:val="0"/>
              <w:overflowPunct w:val="0"/>
              <w:spacing w:before="1" w:line="249" w:lineRule="auto"/>
              <w:ind w:left="136" w:right="119" w:hanging="1"/>
              <w:rPr>
                <w:sz w:val="21"/>
                <w:szCs w:val="21"/>
              </w:rPr>
            </w:pPr>
            <w:r>
              <w:rPr>
                <w:rFonts w:hint="eastAsia"/>
                <w:sz w:val="21"/>
                <w:szCs w:val="21"/>
              </w:rPr>
              <w:t>学院推免工作小组审核推荐意见</w:t>
            </w:r>
          </w:p>
        </w:tc>
        <w:tc>
          <w:tcPr>
            <w:tcW w:w="8143" w:type="dxa"/>
            <w:gridSpan w:val="9"/>
            <w:tcBorders>
              <w:top w:val="double" w:color="000000" w:sz="2" w:space="0"/>
              <w:left w:val="single" w:color="000000" w:sz="4" w:space="0"/>
              <w:bottom w:val="single" w:color="000000" w:sz="4" w:space="0"/>
              <w:right w:val="single" w:color="000000" w:sz="4" w:space="0"/>
            </w:tcBorders>
            <w:vAlign w:val="center"/>
          </w:tcPr>
          <w:p>
            <w:pPr>
              <w:pStyle w:val="13"/>
              <w:kinsoku w:val="0"/>
              <w:overflowPunct w:val="0"/>
              <w:spacing w:before="0"/>
              <w:ind w:left="561" w:right="556"/>
              <w:rPr>
                <w:rFonts w:ascii="黑体" w:eastAsia="黑体" w:cs="黑体"/>
                <w:sz w:val="20"/>
                <w:szCs w:val="20"/>
              </w:rPr>
            </w:pPr>
          </w:p>
          <w:p>
            <w:pPr>
              <w:pStyle w:val="13"/>
              <w:kinsoku w:val="0"/>
              <w:overflowPunct w:val="0"/>
              <w:spacing w:before="0"/>
              <w:ind w:left="561" w:right="556"/>
              <w:rPr>
                <w:rFonts w:ascii="黑体" w:eastAsia="黑体" w:cs="黑体"/>
                <w:sz w:val="20"/>
                <w:szCs w:val="20"/>
              </w:rPr>
            </w:pPr>
          </w:p>
          <w:p>
            <w:pPr>
              <w:pStyle w:val="13"/>
              <w:tabs>
                <w:tab w:val="left" w:pos="6779"/>
                <w:tab w:val="left" w:pos="7304"/>
                <w:tab w:val="left" w:pos="7830"/>
              </w:tabs>
              <w:kinsoku w:val="0"/>
              <w:overflowPunct w:val="0"/>
              <w:ind w:left="3418"/>
              <w:rPr>
                <w:sz w:val="21"/>
                <w:szCs w:val="21"/>
              </w:rPr>
            </w:pPr>
            <w:r>
              <w:rPr>
                <w:rFonts w:hint="eastAsia"/>
                <w:sz w:val="21"/>
                <w:szCs w:val="21"/>
              </w:rPr>
              <w:t>组长：</w:t>
            </w:r>
            <w:r>
              <w:rPr>
                <w:sz w:val="21"/>
                <w:szCs w:val="21"/>
              </w:rPr>
              <w:tab/>
            </w:r>
            <w:r>
              <w:rPr>
                <w:rFonts w:hint="eastAsia"/>
                <w:sz w:val="21"/>
                <w:szCs w:val="21"/>
              </w:rPr>
              <w:t>年</w:t>
            </w:r>
            <w:r>
              <w:rPr>
                <w:sz w:val="21"/>
                <w:szCs w:val="21"/>
              </w:rPr>
              <w:tab/>
            </w:r>
            <w:r>
              <w:rPr>
                <w:rFonts w:hint="eastAsia"/>
                <w:sz w:val="21"/>
                <w:szCs w:val="21"/>
              </w:rPr>
              <w:t>月</w:t>
            </w:r>
            <w:r>
              <w:rPr>
                <w:sz w:val="21"/>
                <w:szCs w:val="21"/>
              </w:rPr>
              <w:tab/>
            </w:r>
            <w:r>
              <w:rPr>
                <w:rFonts w:hint="eastAsia"/>
                <w:sz w:val="21"/>
                <w:szCs w:val="21"/>
              </w:rPr>
              <w:t>日</w:t>
            </w:r>
          </w:p>
        </w:tc>
      </w:tr>
    </w:tbl>
    <w:p>
      <w:pPr>
        <w:pStyle w:val="3"/>
        <w:kinsoku w:val="0"/>
        <w:overflowPunct w:val="0"/>
        <w:spacing w:before="61"/>
        <w:ind w:left="203"/>
        <w:rPr>
          <w:sz w:val="21"/>
          <w:szCs w:val="21"/>
        </w:rPr>
        <w:sectPr>
          <w:pgSz w:w="11910" w:h="16840"/>
          <w:pgMar w:top="873" w:right="1077" w:bottom="873" w:left="1077" w:header="720" w:footer="720" w:gutter="0"/>
          <w:cols w:space="720" w:num="1"/>
          <w:docGrid w:linePitch="299" w:charSpace="0"/>
        </w:sectPr>
      </w:pPr>
      <w:r>
        <w:rPr>
          <w:rFonts w:hint="eastAsia"/>
          <w:sz w:val="21"/>
          <w:szCs w:val="21"/>
        </w:rPr>
        <w:t>注：1.“平均学分绩点”和“不及格课程名称及性质”应以教务管理系统截止当前数据为准。2.符合申请条件的学生，仅能申报一种推免类型；3</w:t>
      </w:r>
      <w:r>
        <w:rPr>
          <w:sz w:val="21"/>
          <w:szCs w:val="21"/>
        </w:rPr>
        <w:t>.</w:t>
      </w:r>
      <w:r>
        <w:rPr>
          <w:rFonts w:hint="eastAsia"/>
          <w:sz w:val="21"/>
          <w:szCs w:val="21"/>
        </w:rPr>
        <w:t>除正常类型推免外，其他类型推免生须在本校免试攻读研究生，否则将取消推免资格，并将失信行为记入个人电子学籍档案。</w:t>
      </w:r>
      <w:r>
        <w:t>4.</w:t>
      </w:r>
      <w:r>
        <w:rPr>
          <w:rFonts w:hint="eastAsia"/>
        </w:rPr>
        <w:t>获得本硕一体化培养资格并考核合格的学生可申报本硕一体化推免。</w:t>
      </w:r>
    </w:p>
    <w:p>
      <w:pPr>
        <w:rPr>
          <w:sz w:val="28"/>
          <w:szCs w:val="28"/>
        </w:rPr>
      </w:pPr>
      <w:r>
        <w:rPr>
          <w:rFonts w:hint="eastAsia"/>
          <w:sz w:val="32"/>
          <w:szCs w:val="32"/>
        </w:rPr>
        <w:t>附件</w:t>
      </w:r>
      <w:r>
        <w:rPr>
          <w:spacing w:val="-80"/>
          <w:sz w:val="32"/>
          <w:szCs w:val="32"/>
        </w:rPr>
        <w:t xml:space="preserve"> </w:t>
      </w:r>
      <w:r>
        <w:rPr>
          <w:sz w:val="32"/>
          <w:szCs w:val="32"/>
        </w:rPr>
        <w:t>2</w:t>
      </w:r>
      <w:r>
        <w:rPr>
          <w:rFonts w:hint="eastAsia"/>
          <w:sz w:val="28"/>
          <w:szCs w:val="28"/>
        </w:rPr>
        <w:t>：</w:t>
      </w:r>
    </w:p>
    <w:p>
      <w:pPr>
        <w:pStyle w:val="3"/>
        <w:kinsoku w:val="0"/>
        <w:overflowPunct w:val="0"/>
        <w:spacing w:before="55"/>
        <w:jc w:val="center"/>
        <w:rPr>
          <w:rStyle w:val="9"/>
          <w:rFonts w:ascii="方正小标宋简体" w:hAnsi="方正小标宋简体" w:eastAsia="方正小标宋简体" w:cs="方正小标宋简体"/>
          <w:sz w:val="36"/>
          <w:szCs w:val="36"/>
        </w:rPr>
      </w:pPr>
      <w:r>
        <w:rPr>
          <w:rStyle w:val="9"/>
          <w:rFonts w:hint="eastAsia" w:ascii="方正小标宋简体" w:hAnsi="方正小标宋简体" w:eastAsia="方正小标宋简体" w:cs="方正小标宋简体"/>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Style w:val="9"/>
          <w:rFonts w:hint="eastAsia" w:ascii="方正小标宋简体" w:hAnsi="方正小标宋简体" w:eastAsia="方正小标宋简体" w:cs="方正小标宋简体"/>
          <w:sz w:val="36"/>
          <w:szCs w:val="36"/>
        </w:rPr>
        <w:instrText xml:space="preserve">ADDIN CNKISM.UserStyle</w:instrText>
      </w:r>
      <w:r>
        <w:rPr>
          <w:rStyle w:val="9"/>
          <w:rFonts w:hint="eastAsia" w:ascii="方正小标宋简体" w:hAnsi="方正小标宋简体" w:eastAsia="方正小标宋简体" w:cs="方正小标宋简体"/>
          <w:sz w:val="36"/>
          <w:szCs w:val="36"/>
        </w:rPr>
        <w:fldChar w:fldCharType="end"/>
      </w:r>
      <w:r>
        <w:rPr>
          <w:rStyle w:val="9"/>
          <w:rFonts w:hint="eastAsia" w:ascii="方正小标宋简体" w:hAnsi="方正小标宋简体" w:eastAsia="方正小标宋简体" w:cs="方正小标宋简体"/>
          <w:sz w:val="36"/>
          <w:szCs w:val="36"/>
        </w:rPr>
        <w:t>管理学院推荐免试研究生基本素质评议表</w:t>
      </w:r>
    </w:p>
    <w:p>
      <w:pPr>
        <w:autoSpaceDE/>
        <w:autoSpaceDN/>
        <w:adjustRightInd/>
        <w:spacing w:line="520" w:lineRule="exact"/>
        <w:ind w:firstLine="640" w:firstLineChars="200"/>
        <w:jc w:val="both"/>
        <w:rPr>
          <w:rFonts w:ascii="仿宋" w:hAnsi="仿宋" w:eastAsia="仿宋" w:cs="仿宋"/>
          <w:sz w:val="32"/>
          <w:szCs w:val="32"/>
        </w:rPr>
      </w:pPr>
      <w:r>
        <w:rPr>
          <w:rFonts w:hint="eastAsia" w:ascii="仿宋" w:hAnsi="仿宋" w:eastAsia="仿宋" w:cs="仿宋"/>
          <w:sz w:val="32"/>
        </w:rPr>
        <w:t>管理学院</w:t>
      </w:r>
      <w:r>
        <w:rPr>
          <w:rFonts w:hint="eastAsia" w:ascii="仿宋" w:hAnsi="仿宋" w:eastAsia="仿宋" w:cs="仿宋"/>
          <w:sz w:val="32"/>
          <w:u w:val="single"/>
        </w:rPr>
        <w:t xml:space="preserve">          </w:t>
      </w:r>
      <w:r>
        <w:rPr>
          <w:rFonts w:hint="eastAsia" w:ascii="仿宋" w:hAnsi="仿宋" w:eastAsia="仿宋" w:cs="仿宋"/>
          <w:sz w:val="32"/>
        </w:rPr>
        <w:t>专业</w:t>
      </w:r>
      <w:r>
        <w:rPr>
          <w:rFonts w:hint="eastAsia" w:ascii="仿宋" w:hAnsi="仿宋" w:eastAsia="仿宋" w:cs="仿宋"/>
          <w:sz w:val="32"/>
          <w:u w:val="single"/>
        </w:rPr>
        <w:t xml:space="preserve">         </w:t>
      </w:r>
      <w:r>
        <w:rPr>
          <w:rFonts w:hint="eastAsia" w:ascii="仿宋" w:hAnsi="仿宋" w:eastAsia="仿宋" w:cs="仿宋"/>
          <w:sz w:val="32"/>
        </w:rPr>
        <w:t>班级</w:t>
      </w:r>
      <w:r>
        <w:rPr>
          <w:rFonts w:hint="eastAsia" w:ascii="仿宋" w:hAnsi="仿宋" w:eastAsia="仿宋" w:cs="仿宋"/>
          <w:sz w:val="32"/>
          <w:u w:val="single"/>
        </w:rPr>
        <w:t xml:space="preserve">        </w:t>
      </w:r>
      <w:r>
        <w:rPr>
          <w:rFonts w:hint="eastAsia" w:ascii="仿宋" w:hAnsi="仿宋" w:eastAsia="仿宋" w:cs="仿宋"/>
          <w:sz w:val="32"/>
        </w:rPr>
        <w:t>同学申请参加我校2021年免试研究生推荐考核。为了全面、客观的了解该同学德智体美劳等方面的综合表现，现请你根据其入校以来的整体表现对该同学进行基本素质评议。</w:t>
      </w:r>
    </w:p>
    <w:p>
      <w:pPr>
        <w:autoSpaceDE/>
        <w:autoSpaceDN/>
        <w:adjustRightInd/>
        <w:spacing w:line="560" w:lineRule="exact"/>
        <w:ind w:firstLine="643" w:firstLineChars="200"/>
        <w:jc w:val="both"/>
        <w:rPr>
          <w:rFonts w:ascii="仿宋" w:hAnsi="仿宋" w:eastAsia="仿宋" w:cs="仿宋"/>
          <w:b/>
          <w:bCs/>
          <w:sz w:val="32"/>
          <w:szCs w:val="32"/>
        </w:rPr>
      </w:pPr>
      <w:r>
        <w:rPr>
          <w:rFonts w:hint="eastAsia" w:ascii="仿宋" w:hAnsi="仿宋" w:eastAsia="仿宋" w:cs="仿宋"/>
          <w:b/>
          <w:bCs/>
          <w:sz w:val="32"/>
          <w:szCs w:val="32"/>
        </w:rPr>
        <w:t>一、基本素质评议的主要观测点</w:t>
      </w:r>
    </w:p>
    <w:p>
      <w:pPr>
        <w:numPr>
          <w:ilvl w:val="0"/>
          <w:numId w:val="2"/>
        </w:numPr>
        <w:autoSpaceDE/>
        <w:autoSpaceDN/>
        <w:adjustRightInd/>
        <w:spacing w:line="520" w:lineRule="exact"/>
        <w:ind w:left="660" w:firstLine="438" w:firstLineChars="137"/>
        <w:jc w:val="both"/>
        <w:rPr>
          <w:rFonts w:ascii="仿宋" w:hAnsi="仿宋" w:eastAsia="仿宋" w:cs="仿宋"/>
          <w:sz w:val="32"/>
          <w:szCs w:val="32"/>
        </w:rPr>
      </w:pPr>
      <w:r>
        <w:rPr>
          <w:rFonts w:hint="eastAsia" w:ascii="仿宋" w:hAnsi="仿宋" w:eastAsia="仿宋" w:cs="仿宋"/>
          <w:sz w:val="32"/>
          <w:szCs w:val="32"/>
        </w:rPr>
        <w:t>热爱祖国,有坚定正确的政治方向和理想信念。</w:t>
      </w:r>
    </w:p>
    <w:p>
      <w:pPr>
        <w:numPr>
          <w:ilvl w:val="0"/>
          <w:numId w:val="2"/>
        </w:numPr>
        <w:autoSpaceDE/>
        <w:autoSpaceDN/>
        <w:adjustRightInd/>
        <w:spacing w:line="520" w:lineRule="exact"/>
        <w:ind w:left="660" w:firstLine="438" w:firstLineChars="137"/>
        <w:jc w:val="both"/>
        <w:rPr>
          <w:rFonts w:ascii="仿宋" w:hAnsi="仿宋" w:eastAsia="仿宋" w:cs="仿宋"/>
          <w:sz w:val="32"/>
          <w:szCs w:val="32"/>
        </w:rPr>
      </w:pPr>
      <w:r>
        <w:rPr>
          <w:rFonts w:hint="eastAsia" w:ascii="仿宋" w:hAnsi="仿宋" w:eastAsia="仿宋" w:cs="仿宋"/>
          <w:sz w:val="32"/>
          <w:szCs w:val="32"/>
        </w:rPr>
        <w:t>有正确的世界观、人生观、价值观。</w:t>
      </w:r>
    </w:p>
    <w:p>
      <w:pPr>
        <w:numPr>
          <w:ilvl w:val="0"/>
          <w:numId w:val="2"/>
        </w:numPr>
        <w:autoSpaceDE/>
        <w:autoSpaceDN/>
        <w:adjustRightInd/>
        <w:spacing w:line="520" w:lineRule="exact"/>
        <w:ind w:left="660" w:firstLine="438" w:firstLineChars="137"/>
        <w:jc w:val="both"/>
        <w:rPr>
          <w:rFonts w:ascii="仿宋" w:hAnsi="仿宋" w:eastAsia="仿宋" w:cs="仿宋"/>
          <w:sz w:val="32"/>
          <w:szCs w:val="32"/>
        </w:rPr>
      </w:pPr>
      <w:r>
        <w:rPr>
          <w:rFonts w:hint="eastAsia" w:ascii="仿宋" w:hAnsi="仿宋" w:eastAsia="仿宋" w:cs="仿宋"/>
          <w:sz w:val="32"/>
          <w:szCs w:val="32"/>
        </w:rPr>
        <w:t>遵守法律、社会公德和校纪校规。</w:t>
      </w:r>
    </w:p>
    <w:p>
      <w:pPr>
        <w:numPr>
          <w:ilvl w:val="0"/>
          <w:numId w:val="2"/>
        </w:numPr>
        <w:autoSpaceDE/>
        <w:autoSpaceDN/>
        <w:adjustRightInd/>
        <w:spacing w:line="520" w:lineRule="exact"/>
        <w:ind w:left="660" w:firstLine="438" w:firstLineChars="137"/>
        <w:jc w:val="both"/>
        <w:rPr>
          <w:rFonts w:ascii="仿宋" w:hAnsi="仿宋" w:eastAsia="仿宋" w:cs="仿宋"/>
          <w:sz w:val="32"/>
          <w:szCs w:val="32"/>
        </w:rPr>
      </w:pPr>
      <w:r>
        <w:rPr>
          <w:rFonts w:hint="eastAsia" w:ascii="仿宋" w:hAnsi="仿宋" w:eastAsia="仿宋" w:cs="仿宋"/>
          <w:sz w:val="32"/>
          <w:szCs w:val="32"/>
        </w:rPr>
        <w:t>诚实守信、知行统一。</w:t>
      </w:r>
    </w:p>
    <w:p>
      <w:pPr>
        <w:numPr>
          <w:ilvl w:val="0"/>
          <w:numId w:val="2"/>
        </w:numPr>
        <w:autoSpaceDE/>
        <w:autoSpaceDN/>
        <w:adjustRightInd/>
        <w:spacing w:line="520" w:lineRule="exact"/>
        <w:ind w:left="660" w:firstLine="438" w:firstLineChars="137"/>
        <w:jc w:val="both"/>
        <w:rPr>
          <w:rFonts w:ascii="仿宋" w:hAnsi="仿宋" w:eastAsia="仿宋" w:cs="仿宋"/>
          <w:sz w:val="32"/>
          <w:szCs w:val="32"/>
        </w:rPr>
      </w:pPr>
      <w:r>
        <w:rPr>
          <w:rFonts w:hint="eastAsia" w:ascii="仿宋" w:hAnsi="仿宋" w:eastAsia="仿宋" w:cs="仿宋"/>
          <w:sz w:val="32"/>
          <w:szCs w:val="32"/>
        </w:rPr>
        <w:t>关心集体，积极参加学校、学院、班级组织的各类文化、体育活动。</w:t>
      </w:r>
    </w:p>
    <w:p>
      <w:pPr>
        <w:numPr>
          <w:ilvl w:val="0"/>
          <w:numId w:val="2"/>
        </w:numPr>
        <w:autoSpaceDE/>
        <w:autoSpaceDN/>
        <w:adjustRightInd/>
        <w:spacing w:line="520" w:lineRule="exact"/>
        <w:ind w:left="660" w:firstLine="438" w:firstLineChars="137"/>
        <w:jc w:val="both"/>
        <w:rPr>
          <w:rFonts w:ascii="仿宋" w:hAnsi="仿宋" w:eastAsia="仿宋" w:cs="仿宋"/>
          <w:sz w:val="32"/>
          <w:szCs w:val="32"/>
        </w:rPr>
      </w:pPr>
      <w:r>
        <w:rPr>
          <w:rFonts w:hint="eastAsia" w:ascii="仿宋" w:hAnsi="仿宋" w:eastAsia="仿宋" w:cs="仿宋"/>
          <w:sz w:val="32"/>
          <w:szCs w:val="32"/>
        </w:rPr>
        <w:t>关心同学，团结友爱，积极为同学服务，与同学相处融洽。</w:t>
      </w:r>
    </w:p>
    <w:p>
      <w:pPr>
        <w:numPr>
          <w:ilvl w:val="0"/>
          <w:numId w:val="2"/>
        </w:numPr>
        <w:autoSpaceDE/>
        <w:autoSpaceDN/>
        <w:adjustRightInd/>
        <w:spacing w:line="520" w:lineRule="exact"/>
        <w:ind w:left="660" w:firstLine="438" w:firstLineChars="137"/>
        <w:jc w:val="both"/>
        <w:rPr>
          <w:rFonts w:ascii="仿宋" w:hAnsi="仿宋" w:eastAsia="仿宋" w:cs="仿宋"/>
          <w:sz w:val="32"/>
          <w:szCs w:val="32"/>
        </w:rPr>
      </w:pPr>
      <w:r>
        <w:rPr>
          <w:rFonts w:hint="eastAsia" w:ascii="仿宋" w:hAnsi="仿宋" w:eastAsia="仿宋" w:cs="仿宋"/>
          <w:sz w:val="32"/>
          <w:szCs w:val="32"/>
        </w:rPr>
        <w:t>具有积极、乐观的生活态度和较强的环境适应能力，身心健康。</w:t>
      </w:r>
    </w:p>
    <w:p>
      <w:pPr>
        <w:numPr>
          <w:ilvl w:val="0"/>
          <w:numId w:val="2"/>
        </w:numPr>
        <w:autoSpaceDE/>
        <w:autoSpaceDN/>
        <w:adjustRightInd/>
        <w:spacing w:line="520" w:lineRule="exact"/>
        <w:ind w:left="660" w:firstLine="438" w:firstLineChars="137"/>
        <w:jc w:val="both"/>
        <w:rPr>
          <w:rFonts w:ascii="仿宋" w:hAnsi="仿宋" w:eastAsia="仿宋" w:cs="仿宋"/>
          <w:sz w:val="32"/>
          <w:szCs w:val="32"/>
        </w:rPr>
      </w:pPr>
      <w:r>
        <w:rPr>
          <w:rFonts w:hint="eastAsia" w:ascii="仿宋" w:hAnsi="仿宋" w:eastAsia="仿宋" w:cs="仿宋"/>
          <w:sz w:val="32"/>
          <w:szCs w:val="32"/>
        </w:rPr>
        <w:t>积极参加社会公益及志愿服务活动。</w:t>
      </w:r>
    </w:p>
    <w:p>
      <w:pPr>
        <w:numPr>
          <w:ilvl w:val="0"/>
          <w:numId w:val="2"/>
        </w:numPr>
        <w:autoSpaceDE/>
        <w:autoSpaceDN/>
        <w:adjustRightInd/>
        <w:spacing w:line="520" w:lineRule="exact"/>
        <w:ind w:left="660" w:firstLine="438" w:firstLineChars="137"/>
        <w:jc w:val="both"/>
        <w:rPr>
          <w:rFonts w:ascii="仿宋" w:hAnsi="仿宋" w:eastAsia="仿宋" w:cs="仿宋"/>
          <w:sz w:val="32"/>
          <w:szCs w:val="32"/>
        </w:rPr>
      </w:pPr>
      <w:r>
        <w:rPr>
          <w:rFonts w:hint="eastAsia" w:ascii="仿宋" w:hAnsi="仿宋" w:eastAsia="仿宋" w:cs="仿宋"/>
          <w:sz w:val="32"/>
          <w:szCs w:val="32"/>
        </w:rPr>
        <w:t>崇尚科学，勤奋学习，刻苦钻研，勇于创新。</w:t>
      </w:r>
    </w:p>
    <w:p>
      <w:pPr>
        <w:autoSpaceDE/>
        <w:autoSpaceDN/>
        <w:adjustRightInd/>
        <w:spacing w:line="520" w:lineRule="exact"/>
        <w:ind w:left="1100" w:leftChars="500"/>
        <w:jc w:val="both"/>
        <w:rPr>
          <w:rFonts w:ascii="仿宋" w:hAnsi="仿宋" w:eastAsia="仿宋" w:cs="仿宋"/>
          <w:sz w:val="32"/>
          <w:szCs w:val="32"/>
        </w:rPr>
      </w:pPr>
      <w:r>
        <w:rPr>
          <w:rFonts w:hint="eastAsia" w:ascii="仿宋" w:hAnsi="仿宋" w:eastAsia="仿宋" w:cs="仿宋"/>
          <w:sz w:val="32"/>
          <w:szCs w:val="32"/>
        </w:rPr>
        <w:t>10. 重视科学知识、人文素养及创新意识的培养和提升。</w:t>
      </w:r>
    </w:p>
    <w:p>
      <w:pPr>
        <w:autoSpaceDE/>
        <w:autoSpaceDN/>
        <w:adjustRightInd/>
        <w:spacing w:line="480" w:lineRule="exact"/>
        <w:ind w:left="440" w:leftChars="200"/>
        <w:jc w:val="both"/>
        <w:rPr>
          <w:rFonts w:ascii="仿宋" w:hAnsi="仿宋" w:eastAsia="仿宋" w:cs="仿宋"/>
          <w:b/>
          <w:bCs/>
          <w:sz w:val="32"/>
          <w:szCs w:val="32"/>
        </w:rPr>
      </w:pPr>
      <w:r>
        <w:rPr>
          <w:rFonts w:hint="eastAsia" w:ascii="仿宋" w:hAnsi="仿宋" w:eastAsia="仿宋" w:cs="仿宋"/>
          <w:b/>
          <w:bCs/>
          <w:sz w:val="32"/>
          <w:szCs w:val="32"/>
        </w:rPr>
        <w:t xml:space="preserve"> 二、基本素质评议结论</w:t>
      </w:r>
    </w:p>
    <w:p>
      <w:pPr>
        <w:autoSpaceDE/>
        <w:autoSpaceDN/>
        <w:adjustRightInd/>
        <w:spacing w:after="120" w:afterLines="50" w:line="52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综合考察该同学的日常表现，你是否同意推荐该同学为202</w:t>
      </w:r>
      <w:r>
        <w:rPr>
          <w:rFonts w:ascii="仿宋" w:hAnsi="仿宋" w:eastAsia="仿宋" w:cs="仿宋"/>
          <w:sz w:val="32"/>
          <w:szCs w:val="32"/>
        </w:rPr>
        <w:t>1</w:t>
      </w:r>
      <w:r>
        <w:rPr>
          <w:rFonts w:hint="eastAsia" w:ascii="仿宋" w:hAnsi="仿宋" w:eastAsia="仿宋" w:cs="仿宋"/>
          <w:sz w:val="32"/>
          <w:szCs w:val="32"/>
        </w:rPr>
        <w:t>年免试研究生。请在下面意见栏中所选项目上方的空格内划“○”</w:t>
      </w:r>
    </w:p>
    <w:tbl>
      <w:tblPr>
        <w:tblStyle w:val="7"/>
        <w:tblW w:w="54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0"/>
        <w:gridCol w:w="2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650" w:type="dxa"/>
          </w:tcPr>
          <w:p>
            <w:pPr>
              <w:spacing w:line="360" w:lineRule="auto"/>
              <w:jc w:val="both"/>
              <w:rPr>
                <w:rFonts w:ascii="仿宋" w:hAnsi="仿宋" w:eastAsia="仿宋" w:cs="仿宋"/>
                <w:sz w:val="32"/>
                <w:szCs w:val="32"/>
              </w:rPr>
            </w:pPr>
          </w:p>
        </w:tc>
        <w:tc>
          <w:tcPr>
            <w:tcW w:w="2757" w:type="dxa"/>
          </w:tcPr>
          <w:p>
            <w:pPr>
              <w:spacing w:line="360" w:lineRule="auto"/>
              <w:jc w:val="both"/>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2650" w:type="dxa"/>
            <w:vAlign w:val="bottom"/>
          </w:tcPr>
          <w:p>
            <w:pPr>
              <w:spacing w:line="360" w:lineRule="auto"/>
              <w:jc w:val="center"/>
              <w:rPr>
                <w:rFonts w:ascii="仿宋" w:hAnsi="仿宋" w:eastAsia="仿宋" w:cs="仿宋"/>
                <w:sz w:val="32"/>
                <w:szCs w:val="32"/>
              </w:rPr>
            </w:pPr>
            <w:r>
              <w:rPr>
                <w:rFonts w:hint="eastAsia" w:ascii="仿宋" w:hAnsi="仿宋" w:eastAsia="仿宋" w:cs="仿宋"/>
                <w:sz w:val="32"/>
                <w:szCs w:val="32"/>
              </w:rPr>
              <w:t>同意</w:t>
            </w:r>
          </w:p>
        </w:tc>
        <w:tc>
          <w:tcPr>
            <w:tcW w:w="2757" w:type="dxa"/>
            <w:vAlign w:val="center"/>
          </w:tcPr>
          <w:p>
            <w:pPr>
              <w:spacing w:line="360" w:lineRule="auto"/>
              <w:jc w:val="center"/>
              <w:rPr>
                <w:rFonts w:ascii="仿宋" w:hAnsi="仿宋" w:eastAsia="仿宋" w:cs="仿宋"/>
                <w:sz w:val="32"/>
                <w:szCs w:val="32"/>
              </w:rPr>
            </w:pPr>
            <w:r>
              <w:rPr>
                <w:rFonts w:hint="eastAsia" w:ascii="仿宋" w:hAnsi="仿宋" w:eastAsia="仿宋" w:cs="仿宋"/>
                <w:sz w:val="32"/>
                <w:szCs w:val="32"/>
              </w:rPr>
              <w:t>不同意</w:t>
            </w:r>
          </w:p>
        </w:tc>
      </w:tr>
    </w:tbl>
    <w:p>
      <w:pPr>
        <w:spacing w:line="360" w:lineRule="auto"/>
        <w:ind w:left="440" w:leftChars="200" w:firstLine="480" w:firstLineChars="200"/>
        <w:jc w:val="both"/>
        <w:rPr>
          <w:rFonts w:ascii="微软雅黑" w:hAnsi="微软雅黑" w:eastAsia="微软雅黑" w:cs="微软雅黑"/>
          <w:sz w:val="24"/>
          <w:szCs w:val="32"/>
        </w:rPr>
      </w:pPr>
    </w:p>
    <w:p>
      <w:pPr>
        <w:pStyle w:val="3"/>
        <w:kinsoku w:val="0"/>
        <w:overflowPunct w:val="0"/>
        <w:spacing w:before="82"/>
        <w:rPr>
          <w:rFonts w:ascii="仿宋" w:hAnsi="仿宋" w:eastAsia="仿宋"/>
          <w:sz w:val="32"/>
        </w:rPr>
        <w:sectPr>
          <w:pgSz w:w="11910" w:h="16840"/>
          <w:pgMar w:top="873" w:right="1077" w:bottom="873" w:left="1077" w:header="720" w:footer="720" w:gutter="0"/>
          <w:cols w:space="720" w:num="1"/>
          <w:docGrid w:linePitch="299" w:charSpace="0"/>
        </w:sectPr>
      </w:pPr>
    </w:p>
    <w:p>
      <w:pPr>
        <w:rPr>
          <w:sz w:val="28"/>
          <w:szCs w:val="28"/>
        </w:rPr>
      </w:pPr>
      <w:bookmarkStart w:id="1" w:name="_Toc24153"/>
      <w:bookmarkStart w:id="2" w:name="_Toc10565"/>
      <w:r>
        <w:rPr>
          <w:rFonts w:hint="eastAsia"/>
          <w:sz w:val="32"/>
          <w:szCs w:val="32"/>
        </w:rPr>
        <w:t>附件</w:t>
      </w:r>
      <w:r>
        <w:rPr>
          <w:spacing w:val="-80"/>
          <w:sz w:val="32"/>
          <w:szCs w:val="32"/>
        </w:rPr>
        <w:t xml:space="preserve"> </w:t>
      </w:r>
      <w:r>
        <w:rPr>
          <w:sz w:val="32"/>
          <w:szCs w:val="32"/>
        </w:rPr>
        <w:t>3</w:t>
      </w:r>
      <w:r>
        <w:rPr>
          <w:rFonts w:hint="eastAsia"/>
          <w:sz w:val="28"/>
          <w:szCs w:val="28"/>
        </w:rPr>
        <w:t>：</w:t>
      </w:r>
    </w:p>
    <w:p>
      <w:pPr>
        <w:spacing w:before="156" w:beforeLines="50" w:after="312" w:afterLines="100"/>
        <w:jc w:val="center"/>
        <w:rPr>
          <w:rStyle w:val="9"/>
          <w:sz w:val="52"/>
          <w:szCs w:val="52"/>
        </w:rPr>
      </w:pPr>
      <w:r>
        <w:rPr>
          <w:rStyle w:val="9"/>
          <w:rFonts w:ascii="方正小标宋简体" w:hAnsi="方正小标宋简体" w:eastAsia="方正小标宋简体" w:cs="方正小标宋简体"/>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Style w:val="9"/>
          <w:rFonts w:ascii="方正小标宋简体" w:hAnsi="方正小标宋简体" w:eastAsia="方正小标宋简体" w:cs="方正小标宋简体"/>
          <w:sz w:val="36"/>
          <w:szCs w:val="36"/>
        </w:rPr>
        <w:instrText xml:space="preserve">ADDIN CNKISM.UserStyle</w:instrText>
      </w:r>
      <w:r>
        <w:rPr>
          <w:rStyle w:val="9"/>
          <w:rFonts w:ascii="方正小标宋简体" w:hAnsi="方正小标宋简体" w:eastAsia="方正小标宋简体" w:cs="方正小标宋简体"/>
          <w:sz w:val="36"/>
          <w:szCs w:val="36"/>
        </w:rPr>
        <w:fldChar w:fldCharType="end"/>
      </w:r>
      <w:r>
        <w:rPr>
          <w:rStyle w:val="9"/>
          <w:rFonts w:hint="eastAsia" w:ascii="方正小标宋简体" w:hAnsi="方正小标宋简体" w:eastAsia="方正小标宋简体" w:cs="方正小标宋简体"/>
          <w:sz w:val="36"/>
          <w:szCs w:val="36"/>
        </w:rPr>
        <w:t>管理学院推荐</w:t>
      </w:r>
      <w:r>
        <w:rPr>
          <w:rStyle w:val="9"/>
          <w:rFonts w:ascii="方正小标宋简体" w:hAnsi="方正小标宋简体" w:eastAsia="方正小标宋简体" w:cs="方正小标宋简体"/>
          <w:sz w:val="36"/>
          <w:szCs w:val="36"/>
        </w:rPr>
        <w:t>202</w:t>
      </w:r>
      <w:r>
        <w:rPr>
          <w:rStyle w:val="9"/>
          <w:rFonts w:hint="eastAsia" w:ascii="方正小标宋简体" w:hAnsi="方正小标宋简体" w:eastAsia="方正小标宋简体" w:cs="方正小标宋简体"/>
          <w:sz w:val="36"/>
          <w:szCs w:val="36"/>
        </w:rPr>
        <w:t>1年免试研究生综合测评计算办法</w:t>
      </w:r>
      <w:r>
        <w:rPr>
          <w:rStyle w:val="9"/>
          <w:rFonts w:hint="eastAsia" w:ascii="方正小标宋简体" w:hAnsi="方正小标宋简体" w:eastAsia="方正小标宋简体" w:cs="方正小标宋简体"/>
        </w:rPr>
        <w:t>（试行）</w:t>
      </w:r>
    </w:p>
    <w:bookmarkEnd w:id="1"/>
    <w:bookmarkEnd w:id="2"/>
    <w:p>
      <w:pPr>
        <w:spacing w:line="360" w:lineRule="auto"/>
        <w:ind w:firstLine="560" w:firstLineChars="175"/>
        <w:rPr>
          <w:rFonts w:ascii="仿宋" w:hAnsi="仿宋" w:eastAsia="仿宋" w:cs="仿宋"/>
          <w:bCs/>
          <w:sz w:val="32"/>
          <w:szCs w:val="32"/>
        </w:rPr>
      </w:pPr>
      <w:r>
        <w:rPr>
          <w:rFonts w:hint="eastAsia" w:ascii="仿宋" w:hAnsi="仿宋" w:eastAsia="仿宋" w:cs="仿宋"/>
          <w:bCs/>
          <w:sz w:val="32"/>
          <w:szCs w:val="32"/>
        </w:rPr>
        <w:t>根据《关于推荐2021年优秀应届本科毕业生免试攻读研究生的通知》（西建大〔2020〕38号），以及《西安建筑科技大学大学生创新创业竞赛管理办法（修订版）》（西建大〔2018〕159号），特制定本办法：</w:t>
      </w:r>
    </w:p>
    <w:p>
      <w:pPr>
        <w:spacing w:line="360" w:lineRule="auto"/>
        <w:ind w:firstLine="565" w:firstLineChars="176"/>
        <w:textAlignment w:val="baseline"/>
        <w:rPr>
          <w:rFonts w:ascii="黑体" w:hAnsi="黑体" w:eastAsia="黑体" w:cs="黑体"/>
          <w:b/>
          <w:sz w:val="32"/>
          <w:szCs w:val="32"/>
        </w:rPr>
      </w:pPr>
      <w:r>
        <w:rPr>
          <w:rFonts w:hint="eastAsia" w:ascii="黑体" w:hAnsi="黑体" w:eastAsia="黑体" w:cs="黑体"/>
          <w:b/>
          <w:sz w:val="32"/>
          <w:szCs w:val="32"/>
        </w:rPr>
        <w:t>一、综合测评成绩构成</w:t>
      </w:r>
    </w:p>
    <w:p>
      <w:pPr>
        <w:spacing w:line="360" w:lineRule="auto"/>
        <w:ind w:firstLine="563" w:firstLineChars="176"/>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综合测评总分</w:t>
      </w:r>
      <w:r>
        <w:rPr>
          <w:rFonts w:ascii="仿宋_GB2312" w:hAnsi="仿宋_GB2312" w:eastAsia="仿宋_GB2312" w:cs="仿宋_GB2312"/>
          <w:bCs/>
          <w:sz w:val="32"/>
          <w:szCs w:val="32"/>
        </w:rPr>
        <w:t xml:space="preserve"> = </w:t>
      </w:r>
      <w:r>
        <w:rPr>
          <w:rFonts w:hint="eastAsia" w:ascii="仿宋_GB2312" w:hAnsi="仿宋_GB2312" w:eastAsia="仿宋_GB2312" w:cs="仿宋_GB2312"/>
          <w:bCs/>
          <w:sz w:val="32"/>
          <w:szCs w:val="32"/>
        </w:rPr>
        <w:t>平均学分绩点</w:t>
      </w:r>
      <w:r>
        <w:rPr>
          <w:rFonts w:ascii="仿宋_GB2312" w:hAnsi="仿宋_GB2312" w:eastAsia="仿宋_GB2312" w:cs="仿宋_GB2312"/>
          <w:bCs/>
          <w:sz w:val="32"/>
          <w:szCs w:val="32"/>
        </w:rPr>
        <w:t xml:space="preserve"> + </w:t>
      </w:r>
      <w:r>
        <w:rPr>
          <w:rFonts w:hint="eastAsia" w:ascii="仿宋_GB2312" w:hAnsi="仿宋_GB2312" w:eastAsia="仿宋_GB2312" w:cs="仿宋_GB2312"/>
          <w:bCs/>
          <w:sz w:val="32"/>
          <w:szCs w:val="32"/>
        </w:rPr>
        <w:t>附加分。</w:t>
      </w:r>
    </w:p>
    <w:p>
      <w:pPr>
        <w:spacing w:line="360" w:lineRule="auto"/>
        <w:ind w:firstLine="565" w:firstLineChars="176"/>
        <w:textAlignment w:val="baseline"/>
        <w:rPr>
          <w:rFonts w:ascii="黑体" w:hAnsi="黑体" w:eastAsia="黑体" w:cs="黑体"/>
          <w:b/>
          <w:sz w:val="32"/>
          <w:szCs w:val="32"/>
        </w:rPr>
      </w:pPr>
      <w:r>
        <w:rPr>
          <w:rFonts w:hint="eastAsia" w:ascii="黑体" w:hAnsi="黑体" w:eastAsia="黑体" w:cs="黑体"/>
          <w:b/>
          <w:sz w:val="32"/>
          <w:szCs w:val="32"/>
        </w:rPr>
        <w:t>二、附加分计分标准</w:t>
      </w:r>
    </w:p>
    <w:p>
      <w:pPr>
        <w:spacing w:line="360" w:lineRule="auto"/>
        <w:ind w:firstLine="565" w:firstLineChars="176"/>
        <w:rPr>
          <w:rFonts w:ascii="仿宋_GB2312" w:hAnsi="仿宋_GB2312" w:eastAsia="仿宋_GB2312" w:cs="仿宋_GB2312"/>
          <w:b/>
          <w:sz w:val="32"/>
          <w:szCs w:val="32"/>
        </w:rPr>
      </w:pPr>
      <w:r>
        <w:rPr>
          <w:rFonts w:hint="eastAsia" w:ascii="仿宋_GB2312" w:hAnsi="仿宋_GB2312" w:eastAsia="仿宋_GB2312" w:cs="仿宋_GB2312"/>
          <w:b/>
          <w:sz w:val="32"/>
          <w:szCs w:val="32"/>
        </w:rPr>
        <w:t>（一）外语水平</w:t>
      </w:r>
    </w:p>
    <w:p>
      <w:pPr>
        <w:spacing w:line="360" w:lineRule="auto"/>
        <w:ind w:firstLine="563" w:firstLineChars="176"/>
        <w:rPr>
          <w:rFonts w:ascii="仿宋" w:hAnsi="仿宋" w:eastAsia="仿宋" w:cs="仿宋"/>
          <w:bCs/>
          <w:sz w:val="32"/>
          <w:szCs w:val="32"/>
        </w:rPr>
      </w:pPr>
      <w:r>
        <w:rPr>
          <w:rFonts w:hint="eastAsia" w:ascii="仿宋" w:hAnsi="仿宋" w:eastAsia="仿宋" w:cs="仿宋"/>
          <w:bCs/>
          <w:sz w:val="32"/>
          <w:szCs w:val="32"/>
        </w:rPr>
        <w:t>通过外语六级者加0.05分。</w:t>
      </w:r>
    </w:p>
    <w:p>
      <w:pPr>
        <w:spacing w:line="360" w:lineRule="auto"/>
        <w:ind w:firstLine="565" w:firstLineChars="176"/>
        <w:rPr>
          <w:rFonts w:ascii="仿宋_GB2312" w:hAnsi="仿宋_GB2312" w:eastAsia="仿宋_GB2312" w:cs="仿宋_GB2312"/>
          <w:b/>
          <w:sz w:val="32"/>
          <w:szCs w:val="32"/>
        </w:rPr>
      </w:pPr>
      <w:r>
        <w:rPr>
          <w:rFonts w:hint="eastAsia" w:ascii="仿宋_GB2312" w:hAnsi="仿宋_GB2312" w:eastAsia="仿宋_GB2312" w:cs="仿宋_GB2312"/>
          <w:b/>
          <w:sz w:val="32"/>
          <w:szCs w:val="32"/>
        </w:rPr>
        <w:t>（二）参加创新创业竞赛获奖、发表论文、获得专利等</w:t>
      </w:r>
    </w:p>
    <w:p>
      <w:pPr>
        <w:spacing w:line="360" w:lineRule="auto"/>
        <w:ind w:firstLine="640" w:firstLineChars="200"/>
        <w:textAlignment w:val="baseline"/>
        <w:rPr>
          <w:rFonts w:ascii="仿宋" w:hAnsi="仿宋" w:eastAsia="仿宋" w:cs="仿宋"/>
          <w:bCs/>
          <w:sz w:val="32"/>
          <w:szCs w:val="32"/>
        </w:rPr>
      </w:pPr>
      <w:r>
        <w:rPr>
          <w:rFonts w:hint="eastAsia" w:ascii="仿宋" w:hAnsi="仿宋" w:eastAsia="仿宋" w:cs="仿宋"/>
          <w:bCs/>
          <w:sz w:val="32"/>
          <w:szCs w:val="32"/>
        </w:rPr>
        <w:t>1.参加各级各类大学生课外科技竞赛（包括科技制作、科技论文、创业计划竞赛和各类学科竞赛等）并获奖的奖励加分。</w:t>
      </w:r>
    </w:p>
    <w:tbl>
      <w:tblPr>
        <w:tblStyle w:val="6"/>
        <w:tblW w:w="8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8"/>
        <w:gridCol w:w="2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378" w:type="dxa"/>
            <w:vAlign w:val="center"/>
          </w:tcPr>
          <w:p>
            <w:pPr>
              <w:spacing w:line="360" w:lineRule="auto"/>
              <w:ind w:firstLine="643" w:firstLineChars="200"/>
              <w:jc w:val="center"/>
              <w:textAlignment w:val="baseline"/>
              <w:rPr>
                <w:rFonts w:ascii="仿宋_GB2312" w:hAnsi="仿宋_GB2312" w:eastAsia="仿宋_GB2312" w:cs="仿宋_GB2312"/>
                <w:b/>
                <w:sz w:val="32"/>
                <w:szCs w:val="32"/>
              </w:rPr>
            </w:pPr>
            <w:r>
              <w:rPr>
                <w:rFonts w:hint="eastAsia" w:ascii="仿宋_GB2312" w:hAnsi="仿宋_GB2312" w:eastAsia="仿宋_GB2312" w:cs="仿宋_GB2312"/>
                <w:b/>
                <w:sz w:val="32"/>
                <w:szCs w:val="32"/>
              </w:rPr>
              <w:t>竞赛等级</w:t>
            </w:r>
          </w:p>
        </w:tc>
        <w:tc>
          <w:tcPr>
            <w:tcW w:w="2493" w:type="dxa"/>
            <w:vAlign w:val="center"/>
          </w:tcPr>
          <w:p>
            <w:pPr>
              <w:spacing w:line="360" w:lineRule="auto"/>
              <w:ind w:firstLine="643" w:firstLineChars="200"/>
              <w:jc w:val="center"/>
              <w:textAlignment w:val="baseline"/>
              <w:rPr>
                <w:rFonts w:ascii="仿宋_GB2312" w:hAnsi="仿宋_GB2312" w:eastAsia="仿宋_GB2312" w:cs="仿宋_GB2312"/>
                <w:b/>
                <w:sz w:val="32"/>
                <w:szCs w:val="32"/>
              </w:rPr>
            </w:pPr>
            <w:r>
              <w:rPr>
                <w:rFonts w:hint="eastAsia" w:ascii="仿宋_GB2312" w:hAnsi="仿宋_GB2312" w:eastAsia="仿宋_GB2312" w:cs="仿宋_GB2312"/>
                <w:b/>
                <w:sz w:val="32"/>
                <w:szCs w:val="32"/>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6378" w:type="dxa"/>
          </w:tcPr>
          <w:p>
            <w:pPr>
              <w:spacing w:line="360" w:lineRule="auto"/>
              <w:textAlignment w:val="baseline"/>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一类</w:t>
            </w:r>
            <w:r>
              <w:rPr>
                <w:rFonts w:ascii="仿宋_GB2312" w:hAnsi="仿宋_GB2312" w:eastAsia="仿宋_GB2312" w:cs="仿宋_GB2312"/>
                <w:bCs/>
                <w:sz w:val="28"/>
                <w:szCs w:val="28"/>
              </w:rPr>
              <w:t>A</w:t>
            </w:r>
            <w:r>
              <w:rPr>
                <w:rFonts w:hint="eastAsia" w:ascii="仿宋_GB2312" w:hAnsi="仿宋_GB2312" w:eastAsia="仿宋_GB2312" w:cs="仿宋_GB2312"/>
                <w:bCs/>
                <w:sz w:val="28"/>
                <w:szCs w:val="28"/>
              </w:rPr>
              <w:t>竞赛第一等级</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二等级</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三等级</w:t>
            </w:r>
          </w:p>
        </w:tc>
        <w:tc>
          <w:tcPr>
            <w:tcW w:w="2493" w:type="dxa"/>
          </w:tcPr>
          <w:p>
            <w:pPr>
              <w:spacing w:line="360" w:lineRule="auto"/>
              <w:textAlignment w:val="baseline"/>
              <w:rPr>
                <w:rFonts w:ascii="仿宋_GB2312" w:hAnsi="仿宋_GB2312" w:eastAsia="仿宋_GB2312" w:cs="仿宋_GB2312"/>
                <w:bCs/>
                <w:sz w:val="28"/>
                <w:szCs w:val="28"/>
              </w:rPr>
            </w:pPr>
            <w:r>
              <w:rPr>
                <w:rFonts w:ascii="仿宋_GB2312" w:hAnsi="仿宋_GB2312" w:eastAsia="仿宋_GB2312" w:cs="仿宋_GB2312"/>
                <w:bCs/>
                <w:sz w:val="28"/>
                <w:szCs w:val="28"/>
              </w:rPr>
              <w:t>0.6/0.4/0.2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6378" w:type="dxa"/>
          </w:tcPr>
          <w:p>
            <w:pPr>
              <w:spacing w:line="360" w:lineRule="auto"/>
              <w:textAlignment w:val="baseline"/>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一类</w:t>
            </w:r>
            <w:r>
              <w:rPr>
                <w:rFonts w:ascii="仿宋_GB2312" w:hAnsi="仿宋_GB2312" w:eastAsia="仿宋_GB2312" w:cs="仿宋_GB2312"/>
                <w:bCs/>
                <w:sz w:val="28"/>
                <w:szCs w:val="28"/>
              </w:rPr>
              <w:t>B</w:t>
            </w:r>
            <w:r>
              <w:rPr>
                <w:rFonts w:hint="eastAsia" w:ascii="仿宋_GB2312" w:hAnsi="仿宋_GB2312" w:eastAsia="仿宋_GB2312" w:cs="仿宋_GB2312"/>
                <w:bCs/>
                <w:sz w:val="28"/>
                <w:szCs w:val="28"/>
              </w:rPr>
              <w:t>竞赛第一等级</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二等级</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三等级</w:t>
            </w:r>
          </w:p>
        </w:tc>
        <w:tc>
          <w:tcPr>
            <w:tcW w:w="2493" w:type="dxa"/>
          </w:tcPr>
          <w:p>
            <w:pPr>
              <w:spacing w:line="360" w:lineRule="auto"/>
              <w:textAlignment w:val="baseline"/>
              <w:rPr>
                <w:rFonts w:ascii="仿宋_GB2312" w:hAnsi="仿宋_GB2312" w:eastAsia="仿宋_GB2312" w:cs="仿宋_GB2312"/>
                <w:bCs/>
                <w:sz w:val="28"/>
                <w:szCs w:val="28"/>
              </w:rPr>
            </w:pPr>
            <w:r>
              <w:rPr>
                <w:rFonts w:ascii="仿宋_GB2312" w:hAnsi="仿宋_GB2312" w:eastAsia="仿宋_GB2312" w:cs="仿宋_GB2312"/>
                <w:bCs/>
                <w:sz w:val="28"/>
                <w:szCs w:val="28"/>
              </w:rPr>
              <w:t>0.4/0.2/0.1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6378" w:type="dxa"/>
          </w:tcPr>
          <w:p>
            <w:pPr>
              <w:spacing w:line="360" w:lineRule="auto"/>
              <w:textAlignment w:val="baseline"/>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二类竞赛第一等级</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二等级</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三等级</w:t>
            </w:r>
          </w:p>
        </w:tc>
        <w:tc>
          <w:tcPr>
            <w:tcW w:w="2493" w:type="dxa"/>
          </w:tcPr>
          <w:p>
            <w:pPr>
              <w:spacing w:line="360" w:lineRule="auto"/>
              <w:textAlignment w:val="baseline"/>
              <w:rPr>
                <w:rFonts w:ascii="仿宋_GB2312" w:hAnsi="仿宋_GB2312" w:eastAsia="仿宋_GB2312" w:cs="仿宋_GB2312"/>
                <w:bCs/>
                <w:sz w:val="28"/>
                <w:szCs w:val="28"/>
              </w:rPr>
            </w:pPr>
            <w:r>
              <w:rPr>
                <w:rFonts w:ascii="仿宋_GB2312" w:hAnsi="仿宋_GB2312" w:eastAsia="仿宋_GB2312" w:cs="仿宋_GB2312"/>
                <w:bCs/>
                <w:sz w:val="28"/>
                <w:szCs w:val="28"/>
              </w:rPr>
              <w:t>0.05/0.03/0.01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6378" w:type="dxa"/>
          </w:tcPr>
          <w:p>
            <w:pPr>
              <w:spacing w:line="360" w:lineRule="auto"/>
              <w:textAlignment w:val="baseline"/>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一类竞赛省级奖项第一等级</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二等级</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三等级</w:t>
            </w:r>
          </w:p>
        </w:tc>
        <w:tc>
          <w:tcPr>
            <w:tcW w:w="2493" w:type="dxa"/>
          </w:tcPr>
          <w:p>
            <w:pPr>
              <w:spacing w:line="360" w:lineRule="auto"/>
              <w:textAlignment w:val="baseline"/>
              <w:rPr>
                <w:rFonts w:ascii="仿宋_GB2312" w:hAnsi="仿宋_GB2312" w:eastAsia="仿宋_GB2312" w:cs="仿宋_GB2312"/>
                <w:bCs/>
                <w:sz w:val="28"/>
                <w:szCs w:val="28"/>
              </w:rPr>
            </w:pPr>
            <w:r>
              <w:rPr>
                <w:rFonts w:ascii="仿宋_GB2312" w:hAnsi="仿宋_GB2312" w:eastAsia="仿宋_GB2312" w:cs="仿宋_GB2312"/>
                <w:bCs/>
                <w:sz w:val="28"/>
                <w:szCs w:val="28"/>
              </w:rPr>
              <w:t>0.05/0.03/0.01</w:t>
            </w:r>
          </w:p>
        </w:tc>
      </w:tr>
    </w:tbl>
    <w:p>
      <w:pPr>
        <w:spacing w:line="360" w:lineRule="auto"/>
        <w:rPr>
          <w:rFonts w:ascii="仿宋" w:hAnsi="仿宋" w:eastAsia="仿宋" w:cs="仿宋"/>
          <w:bCs/>
          <w:sz w:val="32"/>
          <w:szCs w:val="32"/>
        </w:rPr>
      </w:pPr>
      <w:r>
        <w:rPr>
          <w:rFonts w:ascii="仿宋_GB2312" w:hAnsi="仿宋_GB2312" w:eastAsia="仿宋_GB2312" w:cs="仿宋_GB2312"/>
          <w:bCs/>
          <w:sz w:val="32"/>
          <w:szCs w:val="32"/>
        </w:rPr>
        <w:t xml:space="preserve">    </w:t>
      </w:r>
      <w:r>
        <w:rPr>
          <w:rFonts w:hint="eastAsia" w:ascii="仿宋" w:hAnsi="仿宋" w:eastAsia="仿宋" w:cs="仿宋"/>
          <w:bCs/>
          <w:sz w:val="32"/>
          <w:szCs w:val="32"/>
        </w:rPr>
        <w:t>2.发表论文、文章、著作、专利等的奖励加分</w:t>
      </w:r>
    </w:p>
    <w:p>
      <w:pPr>
        <w:spacing w:line="360" w:lineRule="auto"/>
        <w:ind w:left="440" w:leftChars="200" w:firstLine="320" w:firstLineChars="100"/>
        <w:rPr>
          <w:rFonts w:ascii="仿宋" w:hAnsi="仿宋" w:eastAsia="仿宋" w:cs="仿宋"/>
          <w:bCs/>
          <w:sz w:val="32"/>
          <w:szCs w:val="32"/>
        </w:rPr>
      </w:pPr>
      <w:r>
        <w:rPr>
          <w:rFonts w:hint="eastAsia" w:ascii="仿宋" w:hAnsi="仿宋" w:eastAsia="仿宋" w:cs="仿宋"/>
          <w:bCs/>
          <w:sz w:val="32"/>
          <w:szCs w:val="32"/>
        </w:rPr>
        <w:t>（1）在与本学科、专业相关的A、B类期刊发表论文0.6分/篇，C类期刊0.4分/篇，D类期刊0.3分/篇，E类期刊0.2分/篇；（期刊分类标准以学校重要业绩考核指标体系为准）</w:t>
      </w:r>
    </w:p>
    <w:p>
      <w:pPr>
        <w:spacing w:line="360" w:lineRule="auto"/>
        <w:ind w:left="440" w:leftChars="200" w:firstLine="320" w:firstLineChars="100"/>
        <w:rPr>
          <w:rFonts w:ascii="仿宋" w:hAnsi="仿宋" w:eastAsia="仿宋" w:cs="仿宋"/>
          <w:bCs/>
          <w:sz w:val="32"/>
          <w:szCs w:val="32"/>
        </w:rPr>
      </w:pPr>
      <w:r>
        <w:rPr>
          <w:rFonts w:hint="eastAsia" w:ascii="仿宋" w:hAnsi="仿宋" w:eastAsia="仿宋" w:cs="仿宋"/>
          <w:bCs/>
          <w:sz w:val="32"/>
          <w:szCs w:val="32"/>
        </w:rPr>
        <w:t>（2）授权国际（美国、日本、欧洲）发明专利0.6分/项，授权国内发明专利0.3分/项，实用新型专利不加分；</w:t>
      </w:r>
    </w:p>
    <w:p>
      <w:pPr>
        <w:spacing w:line="360" w:lineRule="auto"/>
        <w:ind w:left="440" w:leftChars="200" w:firstLine="320" w:firstLineChars="100"/>
        <w:rPr>
          <w:rFonts w:ascii="仿宋" w:hAnsi="仿宋" w:eastAsia="仿宋" w:cs="仿宋"/>
          <w:bCs/>
          <w:sz w:val="32"/>
          <w:szCs w:val="32"/>
        </w:rPr>
      </w:pPr>
      <w:r>
        <w:rPr>
          <w:rFonts w:hint="eastAsia" w:ascii="仿宋" w:hAnsi="仿宋" w:eastAsia="仿宋" w:cs="仿宋"/>
          <w:bCs/>
          <w:sz w:val="32"/>
          <w:szCs w:val="32"/>
        </w:rPr>
        <w:t>（3）完成的社会实践调查报告，获省级以上奖励的视情况可最高加0.1分/项；</w:t>
      </w:r>
    </w:p>
    <w:p>
      <w:pPr>
        <w:spacing w:line="360" w:lineRule="auto"/>
        <w:ind w:firstLine="643" w:firstLineChars="200"/>
        <w:rPr>
          <w:rFonts w:ascii="仿宋" w:hAnsi="仿宋" w:eastAsia="仿宋" w:cs="仿宋"/>
          <w:b/>
          <w:sz w:val="32"/>
          <w:szCs w:val="32"/>
        </w:rPr>
      </w:pPr>
      <w:r>
        <w:rPr>
          <w:rFonts w:hint="eastAsia" w:ascii="仿宋" w:hAnsi="仿宋" w:eastAsia="仿宋" w:cs="仿宋"/>
          <w:b/>
          <w:sz w:val="32"/>
          <w:szCs w:val="32"/>
        </w:rPr>
        <w:t>（三）社会工作</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各级、各类学生干部，根据职务及工作表现，给予0.05～0.1的加分，具体细则参照附件1。</w:t>
      </w:r>
    </w:p>
    <w:p>
      <w:pPr>
        <w:numPr>
          <w:ilvl w:val="0"/>
          <w:numId w:val="3"/>
        </w:numPr>
        <w:autoSpaceDE/>
        <w:autoSpaceDN/>
        <w:adjustRightInd/>
        <w:spacing w:line="360" w:lineRule="auto"/>
        <w:ind w:firstLine="643" w:firstLineChars="200"/>
        <w:jc w:val="both"/>
        <w:rPr>
          <w:rFonts w:ascii="仿宋" w:hAnsi="仿宋" w:eastAsia="仿宋" w:cs="仿宋"/>
          <w:b/>
          <w:sz w:val="32"/>
          <w:szCs w:val="32"/>
        </w:rPr>
      </w:pPr>
      <w:r>
        <w:rPr>
          <w:rFonts w:hint="eastAsia" w:ascii="仿宋" w:hAnsi="仿宋" w:eastAsia="仿宋" w:cs="仿宋"/>
          <w:b/>
          <w:sz w:val="32"/>
          <w:szCs w:val="32"/>
        </w:rPr>
        <w:t>其他</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在国家、集体或公民利益遭受损害时，能够及时报告、挺身而出、见义勇为、拾金不昧等，受到省级以上表彰或新闻媒体表扬的，最高可加0.2分/项。</w:t>
      </w:r>
    </w:p>
    <w:p>
      <w:pPr>
        <w:spacing w:line="360" w:lineRule="auto"/>
        <w:ind w:firstLine="643" w:firstLineChars="200"/>
        <w:textAlignment w:val="baseline"/>
        <w:rPr>
          <w:rFonts w:ascii="仿宋" w:hAnsi="仿宋" w:eastAsia="仿宋" w:cs="仿宋"/>
          <w:b/>
          <w:sz w:val="32"/>
          <w:szCs w:val="32"/>
        </w:rPr>
      </w:pPr>
      <w:r>
        <w:rPr>
          <w:rFonts w:hint="eastAsia" w:ascii="仿宋" w:hAnsi="仿宋" w:eastAsia="仿宋" w:cs="仿宋"/>
          <w:b/>
          <w:sz w:val="32"/>
          <w:szCs w:val="32"/>
        </w:rPr>
        <w:t>三、说明</w:t>
      </w:r>
    </w:p>
    <w:p>
      <w:pPr>
        <w:spacing w:line="360" w:lineRule="auto"/>
        <w:ind w:firstLine="640" w:firstLineChars="200"/>
        <w:jc w:val="both"/>
        <w:rPr>
          <w:rFonts w:ascii="仿宋" w:hAnsi="仿宋" w:eastAsia="仿宋" w:cs="仿宋"/>
          <w:bCs/>
          <w:sz w:val="32"/>
          <w:szCs w:val="32"/>
        </w:rPr>
      </w:pPr>
      <w:r>
        <w:rPr>
          <w:rFonts w:hint="eastAsia" w:ascii="仿宋" w:hAnsi="仿宋" w:eastAsia="仿宋" w:cs="仿宋"/>
          <w:bCs/>
          <w:sz w:val="32"/>
          <w:szCs w:val="32"/>
        </w:rPr>
        <w:t>1.对于分排名的团体竞赛获奖，排名第一者加最高分，第二名为最高分的85%，第三名为最高分的75%，第四名及以后的成员按照最高分的60%加分；团体竞赛不分排名的，统一按照最高分的75%加分；</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2.发表论文必须是第一作者，署名单位为西安建筑科技大学管理学院；</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3.除创新创业竞赛获奖之外的加分累计不超过0.</w:t>
      </w:r>
      <w:r>
        <w:rPr>
          <w:rFonts w:ascii="仿宋" w:hAnsi="仿宋" w:eastAsia="仿宋" w:cs="仿宋"/>
          <w:bCs/>
          <w:sz w:val="32"/>
          <w:szCs w:val="32"/>
        </w:rPr>
        <w:t>2</w:t>
      </w:r>
      <w:r>
        <w:rPr>
          <w:rFonts w:hint="eastAsia" w:ascii="仿宋" w:hAnsi="仿宋" w:eastAsia="仿宋" w:cs="仿宋"/>
          <w:bCs/>
          <w:sz w:val="32"/>
          <w:szCs w:val="32"/>
        </w:rPr>
        <w:t>分；</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4</w:t>
      </w:r>
      <w:r>
        <w:rPr>
          <w:rFonts w:ascii="仿宋" w:hAnsi="仿宋" w:eastAsia="仿宋" w:cs="仿宋"/>
          <w:bCs/>
          <w:sz w:val="32"/>
          <w:szCs w:val="32"/>
        </w:rPr>
        <w:t>.</w:t>
      </w:r>
      <w:r>
        <w:rPr>
          <w:rFonts w:hint="eastAsia" w:ascii="仿宋" w:hAnsi="仿宋" w:eastAsia="仿宋" w:cs="仿宋"/>
          <w:bCs/>
          <w:sz w:val="32"/>
          <w:szCs w:val="32"/>
        </w:rPr>
        <w:t>各类附加分的总分不得超过0.6分；</w:t>
      </w:r>
    </w:p>
    <w:p>
      <w:pPr>
        <w:ind w:firstLine="640"/>
        <w:rPr>
          <w:rFonts w:ascii="仿宋" w:hAnsi="仿宋" w:eastAsia="仿宋" w:cs="仿宋"/>
          <w:bCs/>
          <w:sz w:val="32"/>
          <w:szCs w:val="32"/>
        </w:rPr>
      </w:pPr>
      <w:r>
        <w:rPr>
          <w:rFonts w:ascii="仿宋" w:hAnsi="仿宋" w:eastAsia="仿宋" w:cs="仿宋"/>
          <w:bCs/>
          <w:sz w:val="32"/>
          <w:szCs w:val="32"/>
        </w:rPr>
        <w:t>5</w:t>
      </w:r>
      <w:r>
        <w:rPr>
          <w:rFonts w:hint="eastAsia" w:ascii="仿宋" w:hAnsi="仿宋" w:eastAsia="仿宋" w:cs="仿宋"/>
          <w:bCs/>
          <w:sz w:val="32"/>
          <w:szCs w:val="32"/>
        </w:rPr>
        <w:t>.此办法未尽之处，解释权归管理学院。</w:t>
      </w:r>
    </w:p>
    <w:p>
      <w:pPr>
        <w:ind w:firstLine="640"/>
        <w:rPr>
          <w:rFonts w:ascii="仿宋_GB2312" w:hAnsi="仿宋_GB2312" w:eastAsia="仿宋_GB2312" w:cs="仿宋_GB2312"/>
          <w:bCs/>
          <w:sz w:val="32"/>
          <w:szCs w:val="32"/>
        </w:rPr>
      </w:pPr>
    </w:p>
    <w:p>
      <w:pPr>
        <w:rPr>
          <w:rFonts w:ascii="仿宋_GB2312" w:hAnsi="仿宋_GB2312" w:eastAsia="仿宋_GB2312" w:cs="仿宋_GB2312"/>
          <w:b/>
          <w:sz w:val="32"/>
          <w:szCs w:val="32"/>
        </w:rPr>
      </w:pPr>
      <w:r>
        <w:rPr>
          <w:rFonts w:hint="eastAsia" w:ascii="仿宋_GB2312" w:hAnsi="仿宋_GB2312" w:eastAsia="仿宋_GB2312" w:cs="仿宋_GB2312"/>
          <w:b/>
          <w:sz w:val="32"/>
          <w:szCs w:val="32"/>
        </w:rPr>
        <w:t>附录</w:t>
      </w:r>
      <w:r>
        <w:rPr>
          <w:rFonts w:ascii="仿宋_GB2312" w:hAnsi="仿宋_GB2312" w:eastAsia="仿宋_GB2312" w:cs="仿宋_GB2312"/>
          <w:b/>
          <w:sz w:val="32"/>
          <w:szCs w:val="32"/>
        </w:rPr>
        <w:t>A</w:t>
      </w:r>
      <w:r>
        <w:rPr>
          <w:rFonts w:hint="eastAsia" w:ascii="仿宋_GB2312" w:hAnsi="仿宋_GB2312" w:eastAsia="仿宋_GB2312" w:cs="仿宋_GB2312"/>
          <w:b/>
          <w:sz w:val="32"/>
          <w:szCs w:val="32"/>
        </w:rPr>
        <w:t>：社会工作加分细则</w:t>
      </w:r>
    </w:p>
    <w:p>
      <w:pPr>
        <w:spacing w:line="360" w:lineRule="auto"/>
        <w:rPr>
          <w:rFonts w:ascii="仿宋_GB2312" w:hAnsi="仿宋_GB2312" w:eastAsia="仿宋_GB2312" w:cs="仿宋_GB2312"/>
          <w:b/>
          <w:sz w:val="32"/>
          <w:szCs w:val="32"/>
        </w:rPr>
      </w:pPr>
      <w:r>
        <w:rPr>
          <w:rFonts w:hint="eastAsia" w:ascii="仿宋_GB2312" w:hAnsi="仿宋_GB2312" w:eastAsia="仿宋_GB2312" w:cs="仿宋_GB2312"/>
          <w:b/>
          <w:sz w:val="32"/>
          <w:szCs w:val="32"/>
        </w:rPr>
        <w:t>附录</w:t>
      </w:r>
      <w:r>
        <w:rPr>
          <w:rFonts w:ascii="仿宋_GB2312" w:hAnsi="仿宋_GB2312" w:eastAsia="仿宋_GB2312" w:cs="仿宋_GB2312"/>
          <w:b/>
          <w:sz w:val="32"/>
          <w:szCs w:val="32"/>
        </w:rPr>
        <w:t>B</w:t>
      </w:r>
      <w:r>
        <w:rPr>
          <w:rFonts w:hint="eastAsia" w:ascii="仿宋_GB2312" w:hAnsi="仿宋_GB2312" w:eastAsia="仿宋_GB2312" w:cs="仿宋_GB2312"/>
          <w:b/>
          <w:sz w:val="32"/>
          <w:szCs w:val="32"/>
        </w:rPr>
        <w:t>：期刊分类标准</w:t>
      </w:r>
    </w:p>
    <w:p>
      <w:pPr>
        <w:ind w:firstLine="640"/>
        <w:rPr>
          <w:rFonts w:ascii="仿宋_GB2312" w:hAnsi="仿宋_GB2312" w:eastAsia="仿宋_GB2312" w:cs="仿宋_GB2312"/>
          <w:bCs/>
          <w:sz w:val="32"/>
          <w:szCs w:val="32"/>
        </w:rPr>
      </w:pPr>
    </w:p>
    <w:p>
      <w:pPr>
        <w:ind w:firstLine="640"/>
        <w:rPr>
          <w:rFonts w:ascii="仿宋_GB2312" w:hAnsi="仿宋_GB2312" w:eastAsia="仿宋_GB2312" w:cs="仿宋_GB2312"/>
          <w:bCs/>
          <w:sz w:val="32"/>
          <w:szCs w:val="32"/>
        </w:rPr>
      </w:pPr>
    </w:p>
    <w:p>
      <w:pPr>
        <w:ind w:firstLine="640"/>
        <w:rPr>
          <w:rFonts w:ascii="仿宋_GB2312" w:hAnsi="仿宋_GB2312" w:eastAsia="仿宋_GB2312" w:cs="仿宋_GB2312"/>
          <w:bCs/>
          <w:sz w:val="32"/>
          <w:szCs w:val="32"/>
        </w:rPr>
      </w:pPr>
    </w:p>
    <w:p>
      <w:pPr>
        <w:ind w:firstLine="5446" w:firstLineChars="1702"/>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管理学院</w:t>
      </w:r>
    </w:p>
    <w:p>
      <w:pPr>
        <w:ind w:firstLine="4806" w:firstLineChars="1502"/>
        <w:rPr>
          <w:rFonts w:ascii="仿宋_GB2312" w:hAnsi="仿宋_GB2312" w:eastAsia="仿宋_GB2312" w:cs="仿宋_GB2312"/>
          <w:bCs/>
          <w:sz w:val="32"/>
          <w:szCs w:val="32"/>
        </w:rPr>
      </w:pPr>
      <w:r>
        <w:rPr>
          <w:rFonts w:ascii="仿宋_GB2312" w:hAnsi="仿宋_GB2312" w:eastAsia="仿宋_GB2312" w:cs="仿宋_GB2312"/>
          <w:bCs/>
          <w:sz w:val="32"/>
          <w:szCs w:val="32"/>
        </w:rPr>
        <w:t>20</w:t>
      </w:r>
      <w:r>
        <w:rPr>
          <w:rFonts w:hint="eastAsia" w:ascii="仿宋_GB2312" w:hAnsi="仿宋_GB2312" w:eastAsia="仿宋_GB2312" w:cs="仿宋_GB2312"/>
          <w:bCs/>
          <w:sz w:val="32"/>
          <w:szCs w:val="32"/>
        </w:rPr>
        <w:t>20年</w:t>
      </w:r>
      <w:r>
        <w:rPr>
          <w:rFonts w:ascii="仿宋_GB2312" w:hAnsi="仿宋_GB2312" w:eastAsia="仿宋_GB2312" w:cs="仿宋_GB2312"/>
          <w:bCs/>
          <w:sz w:val="32"/>
          <w:szCs w:val="32"/>
        </w:rPr>
        <w:t>7</w:t>
      </w:r>
      <w:r>
        <w:rPr>
          <w:rFonts w:hint="eastAsia" w:ascii="仿宋_GB2312" w:hAnsi="仿宋_GB2312" w:eastAsia="仿宋_GB2312" w:cs="仿宋_GB2312"/>
          <w:bCs/>
          <w:sz w:val="32"/>
          <w:szCs w:val="32"/>
        </w:rPr>
        <w:t>月12日</w:t>
      </w:r>
    </w:p>
    <w:p>
      <w:pPr>
        <w:rPr>
          <w:rFonts w:ascii="仿宋_GB2312" w:hAnsi="仿宋_GB2312" w:eastAsia="仿宋_GB2312" w:cs="仿宋_GB2312"/>
          <w:b/>
          <w:sz w:val="32"/>
          <w:szCs w:val="32"/>
        </w:rPr>
      </w:pPr>
      <w:r>
        <w:rPr>
          <w:rFonts w:ascii="仿宋_GB2312" w:hAnsi="仿宋_GB2312" w:eastAsia="仿宋_GB2312" w:cs="仿宋_GB2312"/>
          <w:bCs/>
          <w:sz w:val="32"/>
          <w:szCs w:val="32"/>
        </w:rPr>
        <w:br w:type="page"/>
      </w:r>
      <w:r>
        <w:rPr>
          <w:rFonts w:hint="eastAsia" w:ascii="仿宋_GB2312" w:hAnsi="仿宋_GB2312" w:eastAsia="仿宋_GB2312" w:cs="仿宋_GB2312"/>
          <w:b/>
          <w:sz w:val="32"/>
          <w:szCs w:val="32"/>
        </w:rPr>
        <w:t>附</w:t>
      </w:r>
      <w:r>
        <w:rPr>
          <w:rFonts w:hint="eastAsia" w:eastAsia="仿宋_GB2312" w:cs="Calibri"/>
          <w:b/>
          <w:sz w:val="32"/>
          <w:szCs w:val="32"/>
        </w:rPr>
        <w:t>录</w:t>
      </w:r>
      <w:r>
        <w:rPr>
          <w:rFonts w:ascii="仿宋_GB2312" w:hAnsi="仿宋_GB2312" w:eastAsia="仿宋_GB2312" w:cs="仿宋_GB2312"/>
          <w:b/>
          <w:sz w:val="32"/>
          <w:szCs w:val="32"/>
        </w:rPr>
        <w:t>A</w:t>
      </w:r>
      <w:r>
        <w:rPr>
          <w:rFonts w:hint="eastAsia" w:ascii="仿宋_GB2312" w:hAnsi="仿宋_GB2312" w:eastAsia="仿宋_GB2312" w:cs="仿宋_GB2312"/>
          <w:b/>
          <w:sz w:val="32"/>
          <w:szCs w:val="32"/>
        </w:rPr>
        <w:t>：</w:t>
      </w:r>
    </w:p>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社会工作加分细则</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社会工作加分由指导老师根据职务及工作表现，可加0.05-0.1分，具体加分最高值参考如下：</w:t>
      </w:r>
    </w:p>
    <w:p>
      <w:pPr>
        <w:numPr>
          <w:ilvl w:val="0"/>
          <w:numId w:val="4"/>
        </w:numPr>
        <w:autoSpaceDE/>
        <w:autoSpaceDN/>
        <w:adjustRightInd/>
        <w:spacing w:line="360" w:lineRule="auto"/>
        <w:ind w:firstLine="640" w:firstLineChars="200"/>
        <w:jc w:val="both"/>
        <w:rPr>
          <w:rFonts w:ascii="仿宋" w:hAnsi="仿宋" w:eastAsia="仿宋" w:cs="仿宋"/>
          <w:bCs/>
          <w:sz w:val="32"/>
          <w:szCs w:val="32"/>
        </w:rPr>
      </w:pPr>
      <w:r>
        <w:rPr>
          <w:rFonts w:hint="eastAsia" w:ascii="仿宋" w:hAnsi="仿宋" w:eastAsia="仿宋" w:cs="仿宋"/>
          <w:bCs/>
          <w:sz w:val="32"/>
          <w:szCs w:val="32"/>
        </w:rPr>
        <w:t>党支部：支部委员可加0.07分。</w:t>
      </w:r>
    </w:p>
    <w:p>
      <w:pPr>
        <w:numPr>
          <w:ilvl w:val="0"/>
          <w:numId w:val="4"/>
        </w:numPr>
        <w:autoSpaceDE/>
        <w:autoSpaceDN/>
        <w:adjustRightInd/>
        <w:spacing w:line="360" w:lineRule="auto"/>
        <w:ind w:firstLine="640" w:firstLineChars="200"/>
        <w:jc w:val="both"/>
        <w:rPr>
          <w:rFonts w:ascii="仿宋" w:hAnsi="仿宋" w:eastAsia="仿宋" w:cs="仿宋"/>
          <w:bCs/>
          <w:sz w:val="32"/>
          <w:szCs w:val="32"/>
        </w:rPr>
      </w:pPr>
      <w:r>
        <w:rPr>
          <w:rFonts w:hint="eastAsia" w:ascii="仿宋" w:hAnsi="仿宋" w:eastAsia="仿宋" w:cs="仿宋"/>
          <w:bCs/>
          <w:sz w:val="32"/>
          <w:szCs w:val="32"/>
        </w:rPr>
        <w:t>草堂校区校学生会、社团联合会、院学生会：主席可加0.1分，副主席可加0.07分，副秘书长、部长可加0.05分；</w:t>
      </w:r>
    </w:p>
    <w:p>
      <w:pPr>
        <w:numPr>
          <w:ilvl w:val="0"/>
          <w:numId w:val="4"/>
        </w:numPr>
        <w:autoSpaceDE/>
        <w:autoSpaceDN/>
        <w:adjustRightInd/>
        <w:spacing w:line="360" w:lineRule="auto"/>
        <w:ind w:firstLine="640" w:firstLineChars="200"/>
        <w:jc w:val="both"/>
        <w:rPr>
          <w:rFonts w:ascii="仿宋" w:hAnsi="仿宋" w:eastAsia="仿宋" w:cs="仿宋"/>
          <w:bCs/>
          <w:sz w:val="32"/>
          <w:szCs w:val="32"/>
        </w:rPr>
      </w:pPr>
      <w:r>
        <w:rPr>
          <w:rFonts w:hint="eastAsia" w:ascii="仿宋" w:hAnsi="仿宋" w:eastAsia="仿宋" w:cs="仿宋"/>
          <w:bCs/>
          <w:sz w:val="32"/>
          <w:szCs w:val="32"/>
        </w:rPr>
        <w:t>学院分团委：团委副书记可加0.1分，组织部长、宣传部长可加0.07分，科技部长、实践部长可加0.05分；</w:t>
      </w:r>
    </w:p>
    <w:p>
      <w:pPr>
        <w:numPr>
          <w:ilvl w:val="0"/>
          <w:numId w:val="4"/>
        </w:numPr>
        <w:autoSpaceDE/>
        <w:autoSpaceDN/>
        <w:adjustRightInd/>
        <w:spacing w:line="360" w:lineRule="auto"/>
        <w:ind w:firstLine="640" w:firstLineChars="200"/>
        <w:jc w:val="both"/>
        <w:rPr>
          <w:rFonts w:ascii="仿宋" w:hAnsi="仿宋" w:eastAsia="仿宋" w:cs="仿宋"/>
          <w:bCs/>
          <w:sz w:val="32"/>
          <w:szCs w:val="32"/>
        </w:rPr>
      </w:pPr>
      <w:r>
        <w:rPr>
          <w:rFonts w:hint="eastAsia" w:ascii="仿宋" w:hAnsi="仿宋" w:eastAsia="仿宋" w:cs="仿宋"/>
          <w:bCs/>
          <w:sz w:val="32"/>
          <w:szCs w:val="32"/>
        </w:rPr>
        <w:t>团支部书记、班长可加0.05分；</w:t>
      </w:r>
    </w:p>
    <w:p>
      <w:pPr>
        <w:numPr>
          <w:ilvl w:val="0"/>
          <w:numId w:val="4"/>
        </w:numPr>
        <w:autoSpaceDE/>
        <w:autoSpaceDN/>
        <w:adjustRightInd/>
        <w:spacing w:line="360" w:lineRule="auto"/>
        <w:ind w:firstLine="640" w:firstLineChars="200"/>
        <w:jc w:val="both"/>
        <w:rPr>
          <w:rFonts w:ascii="仿宋" w:hAnsi="仿宋" w:eastAsia="仿宋" w:cs="仿宋"/>
          <w:bCs/>
          <w:sz w:val="32"/>
          <w:szCs w:val="32"/>
        </w:rPr>
      </w:pPr>
      <w:r>
        <w:rPr>
          <w:rFonts w:hint="eastAsia" w:ascii="仿宋" w:hAnsi="仿宋" w:eastAsia="仿宋" w:cs="仿宋"/>
          <w:bCs/>
          <w:sz w:val="32"/>
          <w:szCs w:val="32"/>
        </w:rPr>
        <w:t>学生班主任可加0.05分，</w:t>
      </w:r>
    </w:p>
    <w:p>
      <w:pPr>
        <w:numPr>
          <w:ilvl w:val="0"/>
          <w:numId w:val="4"/>
        </w:numPr>
        <w:autoSpaceDE/>
        <w:autoSpaceDN/>
        <w:adjustRightInd/>
        <w:spacing w:line="360" w:lineRule="auto"/>
        <w:ind w:firstLine="640" w:firstLineChars="200"/>
        <w:jc w:val="both"/>
        <w:rPr>
          <w:rFonts w:ascii="仿宋" w:hAnsi="仿宋" w:eastAsia="仿宋" w:cs="仿宋"/>
          <w:bCs/>
          <w:sz w:val="32"/>
          <w:szCs w:val="32"/>
        </w:rPr>
      </w:pPr>
      <w:r>
        <w:rPr>
          <w:rFonts w:hint="eastAsia" w:ascii="仿宋" w:hAnsi="仿宋" w:eastAsia="仿宋" w:cs="仿宋"/>
          <w:bCs/>
          <w:sz w:val="32"/>
          <w:szCs w:val="32"/>
        </w:rPr>
        <w:t>说明</w:t>
      </w:r>
    </w:p>
    <w:p>
      <w:pPr>
        <w:numPr>
          <w:ilvl w:val="0"/>
          <w:numId w:val="5"/>
        </w:numPr>
        <w:autoSpaceDE/>
        <w:autoSpaceDN/>
        <w:adjustRightInd/>
        <w:spacing w:line="360" w:lineRule="auto"/>
        <w:ind w:firstLine="640" w:firstLineChars="200"/>
        <w:jc w:val="both"/>
        <w:rPr>
          <w:rFonts w:ascii="仿宋" w:hAnsi="仿宋" w:eastAsia="仿宋" w:cs="仿宋"/>
          <w:bCs/>
          <w:sz w:val="32"/>
          <w:szCs w:val="32"/>
        </w:rPr>
      </w:pPr>
      <w:r>
        <w:rPr>
          <w:rFonts w:hint="eastAsia" w:ascii="仿宋" w:hAnsi="仿宋" w:eastAsia="仿宋" w:cs="仿宋"/>
          <w:bCs/>
          <w:sz w:val="32"/>
          <w:szCs w:val="32"/>
        </w:rPr>
        <w:t>担任社会工作加分的，应任期满一年或一届，并通过相应学生组织考核部门的考核，合格后方可加分；</w:t>
      </w:r>
    </w:p>
    <w:p>
      <w:pPr>
        <w:numPr>
          <w:ilvl w:val="0"/>
          <w:numId w:val="5"/>
        </w:numPr>
        <w:autoSpaceDE/>
        <w:autoSpaceDN/>
        <w:adjustRightInd/>
        <w:spacing w:line="360" w:lineRule="auto"/>
        <w:ind w:firstLine="640" w:firstLineChars="200"/>
        <w:jc w:val="both"/>
        <w:rPr>
          <w:rFonts w:ascii="仿宋" w:hAnsi="仿宋" w:eastAsia="仿宋" w:cs="仿宋"/>
          <w:bCs/>
          <w:sz w:val="32"/>
          <w:szCs w:val="32"/>
        </w:rPr>
      </w:pPr>
      <w:r>
        <w:rPr>
          <w:rFonts w:hint="eastAsia" w:ascii="仿宋" w:hAnsi="仿宋" w:eastAsia="仿宋" w:cs="仿宋"/>
          <w:bCs/>
          <w:sz w:val="32"/>
          <w:szCs w:val="32"/>
        </w:rPr>
        <w:t>获得国家级奖励的各类组织成员可以在原有加分基础上再加0.1分，获得省级奖励的各类组织成员可以在原有加分基础上再加0.05分。</w:t>
      </w:r>
    </w:p>
    <w:p>
      <w:pPr>
        <w:numPr>
          <w:ilvl w:val="0"/>
          <w:numId w:val="5"/>
        </w:numPr>
        <w:autoSpaceDE/>
        <w:autoSpaceDN/>
        <w:adjustRightInd/>
        <w:spacing w:line="360" w:lineRule="auto"/>
        <w:ind w:firstLine="640" w:firstLineChars="200"/>
        <w:jc w:val="both"/>
        <w:rPr>
          <w:rFonts w:ascii="仿宋" w:hAnsi="仿宋" w:eastAsia="仿宋" w:cs="仿宋"/>
          <w:bCs/>
          <w:sz w:val="32"/>
          <w:szCs w:val="32"/>
        </w:rPr>
      </w:pPr>
      <w:r>
        <w:rPr>
          <w:rFonts w:hint="eastAsia" w:ascii="仿宋" w:hAnsi="仿宋" w:eastAsia="仿宋" w:cs="仿宋"/>
          <w:bCs/>
          <w:sz w:val="32"/>
          <w:szCs w:val="32"/>
        </w:rPr>
        <w:t>凡以上加分部分，须有相关证明材料或获奖证书；</w:t>
      </w:r>
    </w:p>
    <w:p>
      <w:pPr>
        <w:numPr>
          <w:ilvl w:val="0"/>
          <w:numId w:val="5"/>
        </w:numPr>
        <w:autoSpaceDE/>
        <w:autoSpaceDN/>
        <w:adjustRightInd/>
        <w:spacing w:line="360" w:lineRule="auto"/>
        <w:ind w:firstLine="640" w:firstLineChars="200"/>
        <w:jc w:val="both"/>
        <w:rPr>
          <w:rFonts w:ascii="仿宋" w:hAnsi="仿宋" w:eastAsia="仿宋" w:cs="仿宋"/>
          <w:bCs/>
          <w:sz w:val="32"/>
          <w:szCs w:val="32"/>
        </w:rPr>
      </w:pPr>
      <w:r>
        <w:rPr>
          <w:rFonts w:hint="eastAsia" w:ascii="仿宋" w:hAnsi="仿宋" w:eastAsia="仿宋" w:cs="仿宋"/>
          <w:bCs/>
          <w:sz w:val="32"/>
          <w:szCs w:val="32"/>
        </w:rPr>
        <w:t>“优秀党员”、“优秀团员”、“优秀团干”等属于综合荣誉，不在评优中加分；</w:t>
      </w:r>
    </w:p>
    <w:p>
      <w:pPr>
        <w:numPr>
          <w:ilvl w:val="0"/>
          <w:numId w:val="5"/>
        </w:numPr>
        <w:autoSpaceDE/>
        <w:autoSpaceDN/>
        <w:adjustRightInd/>
        <w:spacing w:line="360" w:lineRule="auto"/>
        <w:ind w:firstLine="640" w:firstLineChars="200"/>
        <w:jc w:val="both"/>
        <w:rPr>
          <w:rFonts w:ascii="仿宋_GB2312" w:hAnsi="仿宋_GB2312" w:eastAsia="仿宋_GB2312" w:cs="仿宋_GB2312"/>
          <w:bCs/>
          <w:sz w:val="32"/>
          <w:szCs w:val="32"/>
        </w:rPr>
      </w:pPr>
      <w:r>
        <w:rPr>
          <w:rFonts w:hint="eastAsia" w:ascii="仿宋" w:hAnsi="仿宋" w:eastAsia="仿宋" w:cs="仿宋"/>
          <w:bCs/>
          <w:sz w:val="32"/>
          <w:szCs w:val="32"/>
        </w:rPr>
        <w:t>担任多项社会工作者不得累加，取单项最高分。</w:t>
      </w:r>
    </w:p>
    <w:p>
      <w:pPr>
        <w:autoSpaceDE/>
        <w:autoSpaceDN/>
        <w:spacing w:line="360" w:lineRule="auto"/>
        <w:rPr>
          <w:rFonts w:ascii="仿宋_GB2312" w:hAnsi="仿宋_GB2312" w:eastAsia="仿宋_GB2312" w:cs="仿宋_GB2312"/>
          <w:b/>
          <w:sz w:val="32"/>
          <w:szCs w:val="32"/>
        </w:rPr>
      </w:pPr>
      <w:r>
        <w:rPr>
          <w:rFonts w:ascii="仿宋_GB2312" w:hAnsi="仿宋_GB2312" w:eastAsia="仿宋_GB2312" w:cs="仿宋_GB2312"/>
          <w:b/>
          <w:sz w:val="32"/>
          <w:szCs w:val="32"/>
        </w:rPr>
        <w:br w:type="page"/>
      </w:r>
      <w:r>
        <w:rPr>
          <w:rFonts w:hint="eastAsia" w:ascii="仿宋_GB2312" w:hAnsi="仿宋_GB2312" w:eastAsia="仿宋_GB2312" w:cs="仿宋_GB2312"/>
          <w:b/>
          <w:sz w:val="32"/>
          <w:szCs w:val="32"/>
        </w:rPr>
        <w:t>附</w:t>
      </w:r>
      <w:r>
        <w:rPr>
          <w:rFonts w:hint="eastAsia" w:eastAsia="仿宋_GB2312" w:cs="Calibri"/>
          <w:b/>
          <w:sz w:val="32"/>
          <w:szCs w:val="32"/>
        </w:rPr>
        <w:t>录</w:t>
      </w:r>
      <w:r>
        <w:rPr>
          <w:rFonts w:eastAsia="仿宋_GB2312" w:cs="Calibri"/>
          <w:b/>
          <w:sz w:val="32"/>
          <w:szCs w:val="32"/>
        </w:rPr>
        <w:t>B</w:t>
      </w:r>
      <w:r>
        <w:rPr>
          <w:rFonts w:hint="eastAsia" w:ascii="仿宋_GB2312" w:hAnsi="仿宋_GB2312" w:eastAsia="仿宋_GB2312" w:cs="仿宋_GB2312"/>
          <w:b/>
          <w:sz w:val="32"/>
          <w:szCs w:val="32"/>
        </w:rPr>
        <w:t>：</w:t>
      </w:r>
    </w:p>
    <w:p>
      <w:pPr>
        <w:autoSpaceDE/>
        <w:autoSpaceDN/>
        <w:spacing w:line="360" w:lineRule="auto"/>
        <w:jc w:val="center"/>
        <w:rPr>
          <w:rFonts w:ascii="仿宋" w:hAnsi="仿宋" w:eastAsia="仿宋" w:cs="仿宋"/>
          <w:b/>
          <w:sz w:val="32"/>
          <w:szCs w:val="32"/>
        </w:rPr>
      </w:pPr>
      <w:r>
        <w:rPr>
          <w:rFonts w:hint="eastAsia" w:ascii="仿宋" w:hAnsi="仿宋" w:eastAsia="仿宋" w:cs="仿宋"/>
          <w:b/>
          <w:sz w:val="32"/>
          <w:szCs w:val="32"/>
        </w:rPr>
        <w:t>期刊分类标准</w:t>
      </w:r>
    </w:p>
    <w:p>
      <w:pPr>
        <w:widowControl/>
        <w:rPr>
          <w:rFonts w:ascii="仿宋" w:hAnsi="仿宋" w:eastAsia="仿宋" w:cs="仿宋"/>
          <w:b/>
          <w:bCs/>
          <w:sz w:val="32"/>
          <w:szCs w:val="32"/>
          <w:lang w:bidi="ar"/>
        </w:rPr>
      </w:pPr>
      <w:r>
        <w:rPr>
          <w:rFonts w:hint="eastAsia" w:ascii="仿宋" w:hAnsi="仿宋" w:eastAsia="仿宋" w:cs="仿宋"/>
          <w:b/>
          <w:bCs/>
          <w:sz w:val="32"/>
          <w:szCs w:val="32"/>
          <w:lang w:bidi="ar"/>
        </w:rPr>
        <w:t>A类期刊：</w:t>
      </w:r>
    </w:p>
    <w:p>
      <w:pPr>
        <w:widowControl/>
        <w:rPr>
          <w:rFonts w:ascii="仿宋" w:hAnsi="仿宋" w:eastAsia="仿宋" w:cs="仿宋"/>
          <w:sz w:val="32"/>
          <w:szCs w:val="32"/>
          <w:lang w:bidi="ar"/>
        </w:rPr>
      </w:pPr>
      <w:r>
        <w:rPr>
          <w:rFonts w:hint="eastAsia" w:ascii="仿宋" w:hAnsi="仿宋" w:eastAsia="仿宋" w:cs="仿宋"/>
          <w:sz w:val="32"/>
          <w:szCs w:val="32"/>
          <w:lang w:bidi="ar"/>
        </w:rPr>
        <w:t>《管理世界》、《经济研究》、《中国社会科学》、SCIE（JCR-Q1）、SSCI、A&amp;HCI全文收录论文。</w:t>
      </w:r>
    </w:p>
    <w:p>
      <w:pPr>
        <w:widowControl/>
        <w:rPr>
          <w:rFonts w:ascii="仿宋" w:hAnsi="仿宋" w:eastAsia="仿宋" w:cs="仿宋"/>
          <w:b/>
          <w:bCs/>
          <w:sz w:val="32"/>
          <w:szCs w:val="32"/>
          <w:lang w:bidi="ar"/>
        </w:rPr>
      </w:pPr>
      <w:r>
        <w:rPr>
          <w:rFonts w:hint="eastAsia" w:ascii="仿宋" w:hAnsi="仿宋" w:eastAsia="仿宋" w:cs="仿宋"/>
          <w:b/>
          <w:bCs/>
          <w:sz w:val="32"/>
          <w:szCs w:val="32"/>
          <w:lang w:bidi="ar"/>
        </w:rPr>
        <w:t>B类期刊：</w:t>
      </w:r>
    </w:p>
    <w:p>
      <w:pPr>
        <w:widowControl/>
        <w:rPr>
          <w:rFonts w:ascii="仿宋" w:hAnsi="仿宋" w:eastAsia="仿宋" w:cs="仿宋"/>
          <w:sz w:val="32"/>
          <w:szCs w:val="32"/>
          <w:lang w:bidi="ar"/>
        </w:rPr>
      </w:pPr>
      <w:r>
        <w:rPr>
          <w:rFonts w:hint="eastAsia" w:ascii="仿宋" w:hAnsi="仿宋" w:eastAsia="仿宋" w:cs="仿宋"/>
          <w:sz w:val="32"/>
          <w:szCs w:val="32"/>
          <w:lang w:bidi="ar"/>
        </w:rPr>
        <w:t>《中国软科学》、《新华文摘》（全文转载）、《人民日报》《光明日报理论版》（理论周刊，全文转载）、SCIE（JCR-Q2）全文收录论文</w:t>
      </w:r>
    </w:p>
    <w:p>
      <w:pPr>
        <w:widowControl/>
        <w:rPr>
          <w:rFonts w:ascii="仿宋" w:hAnsi="仿宋" w:eastAsia="仿宋" w:cs="仿宋"/>
          <w:b/>
          <w:bCs/>
          <w:sz w:val="32"/>
          <w:szCs w:val="32"/>
          <w:lang w:bidi="ar"/>
        </w:rPr>
      </w:pPr>
      <w:r>
        <w:rPr>
          <w:rFonts w:hint="eastAsia" w:ascii="仿宋" w:hAnsi="仿宋" w:eastAsia="仿宋" w:cs="仿宋"/>
          <w:b/>
          <w:bCs/>
          <w:sz w:val="32"/>
          <w:szCs w:val="32"/>
          <w:lang w:bidi="ar"/>
        </w:rPr>
        <w:t>C类期刊：</w:t>
      </w:r>
    </w:p>
    <w:p>
      <w:pPr>
        <w:widowControl/>
        <w:rPr>
          <w:rFonts w:ascii="仿宋" w:hAnsi="仿宋" w:eastAsia="仿宋" w:cs="仿宋"/>
          <w:sz w:val="32"/>
          <w:szCs w:val="32"/>
          <w:lang w:bidi="ar"/>
        </w:rPr>
      </w:pPr>
      <w:r>
        <w:rPr>
          <w:rFonts w:hint="eastAsia" w:ascii="仿宋" w:hAnsi="仿宋" w:eastAsia="仿宋" w:cs="仿宋"/>
          <w:sz w:val="32"/>
          <w:szCs w:val="32"/>
          <w:lang w:bidi="ar"/>
        </w:rPr>
        <w:t>《管理科学学报》、《南开管理评论》、《系统工程理论与实践》、《科学学研究》、《公共管理学报》、《运筹与管理》、《世界经济》、《经济学动态》、《数量经济技术经济研究》、《会计研究》、SCIE（JCR-Q3）全文收录论文</w:t>
      </w:r>
    </w:p>
    <w:p>
      <w:pPr>
        <w:widowControl/>
        <w:rPr>
          <w:rFonts w:ascii="仿宋" w:hAnsi="仿宋" w:eastAsia="仿宋" w:cs="仿宋"/>
          <w:b/>
          <w:bCs/>
          <w:sz w:val="32"/>
          <w:szCs w:val="32"/>
          <w:lang w:bidi="ar"/>
        </w:rPr>
      </w:pPr>
      <w:r>
        <w:rPr>
          <w:rFonts w:hint="eastAsia" w:ascii="仿宋" w:hAnsi="仿宋" w:eastAsia="仿宋" w:cs="仿宋"/>
          <w:b/>
          <w:bCs/>
          <w:sz w:val="32"/>
          <w:szCs w:val="32"/>
          <w:lang w:bidi="ar"/>
        </w:rPr>
        <w:t>D类期刊：</w:t>
      </w:r>
    </w:p>
    <w:p>
      <w:pPr>
        <w:widowControl/>
        <w:rPr>
          <w:rFonts w:ascii="仿宋" w:hAnsi="仿宋" w:eastAsia="仿宋" w:cs="仿宋"/>
          <w:sz w:val="32"/>
          <w:szCs w:val="32"/>
          <w:lang w:bidi="ar"/>
        </w:rPr>
      </w:pPr>
      <w:r>
        <w:rPr>
          <w:rFonts w:hint="eastAsia" w:ascii="仿宋" w:hAnsi="仿宋" w:eastAsia="仿宋" w:cs="仿宋"/>
          <w:sz w:val="32"/>
          <w:szCs w:val="32"/>
          <w:lang w:bidi="ar"/>
        </w:rPr>
        <w:t>CSSCI（来源期刊）</w:t>
      </w:r>
    </w:p>
    <w:p>
      <w:pPr>
        <w:widowControl/>
        <w:rPr>
          <w:rFonts w:ascii="仿宋" w:hAnsi="仿宋" w:eastAsia="仿宋" w:cs="仿宋"/>
          <w:b/>
          <w:bCs/>
          <w:sz w:val="32"/>
          <w:szCs w:val="32"/>
          <w:lang w:bidi="ar"/>
        </w:rPr>
      </w:pPr>
      <w:r>
        <w:rPr>
          <w:rFonts w:hint="eastAsia" w:ascii="仿宋" w:hAnsi="仿宋" w:eastAsia="仿宋" w:cs="仿宋"/>
          <w:b/>
          <w:bCs/>
          <w:sz w:val="32"/>
          <w:szCs w:val="32"/>
          <w:lang w:bidi="ar"/>
        </w:rPr>
        <w:t>E类期刊：</w:t>
      </w:r>
    </w:p>
    <w:p>
      <w:pPr>
        <w:widowControl/>
        <w:rPr>
          <w:rFonts w:ascii="仿宋" w:hAnsi="仿宋" w:eastAsia="仿宋" w:cs="仿宋"/>
          <w:sz w:val="32"/>
          <w:szCs w:val="32"/>
          <w:lang w:bidi="ar"/>
        </w:rPr>
      </w:pPr>
      <w:r>
        <w:rPr>
          <w:rFonts w:hint="eastAsia" w:ascii="仿宋" w:hAnsi="仿宋" w:eastAsia="仿宋" w:cs="仿宋"/>
          <w:sz w:val="32"/>
          <w:szCs w:val="32"/>
          <w:lang w:bidi="ar"/>
        </w:rPr>
        <w:t>SCIE（JCR-Q4）全文收录论文、CSCD（来源期刊核心库）、其他EI中文期刊论文</w:t>
      </w:r>
    </w:p>
    <w:p>
      <w:pPr>
        <w:pStyle w:val="3"/>
        <w:kinsoku w:val="0"/>
        <w:overflowPunct w:val="0"/>
        <w:spacing w:before="82"/>
        <w:rPr>
          <w:rFonts w:ascii="仿宋" w:hAnsi="仿宋" w:eastAsia="仿宋"/>
          <w:sz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087" w:usb1="28AF4000" w:usb2="00000016" w:usb3="00000000" w:csb0="00100009"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0E01CB"/>
    <w:multiLevelType w:val="singleLevel"/>
    <w:tmpl w:val="8A0E01CB"/>
    <w:lvl w:ilvl="0" w:tentative="0">
      <w:start w:val="4"/>
      <w:numFmt w:val="chineseCounting"/>
      <w:suff w:val="nothing"/>
      <w:lvlText w:val="（%1）"/>
      <w:lvlJc w:val="left"/>
      <w:rPr>
        <w:rFonts w:hint="eastAsia" w:cs="Times New Roman"/>
      </w:rPr>
    </w:lvl>
  </w:abstractNum>
  <w:abstractNum w:abstractNumId="1">
    <w:nsid w:val="F0AAB16C"/>
    <w:multiLevelType w:val="multilevel"/>
    <w:tmpl w:val="F0AAB16C"/>
    <w:lvl w:ilvl="0" w:tentative="0">
      <w:start w:val="1"/>
      <w:numFmt w:val="decimal"/>
      <w:suff w:val="nothing"/>
      <w:lvlText w:val="（%1）"/>
      <w:lvlJc w:val="left"/>
      <w:rPr>
        <w:rFonts w:cs="Times New Roman"/>
      </w:rPr>
    </w:lvl>
    <w:lvl w:ilvl="1" w:tentative="0">
      <w:start w:val="1"/>
      <w:numFmt w:val="decimal"/>
      <w:lvlText w:val="（）"/>
      <w:lvlJc w:val="left"/>
      <w:rPr>
        <w:rFonts w:cs="Times New Roman"/>
        <w:u w:val="none"/>
      </w:rPr>
    </w:lvl>
    <w:lvl w:ilvl="2" w:tentative="0">
      <w:start w:val="1"/>
      <w:numFmt w:val="decimal"/>
      <w:lvlText w:val="（）"/>
      <w:lvlJc w:val="left"/>
      <w:rPr>
        <w:rFonts w:cs="Times New Roman"/>
        <w:u w:val="none"/>
      </w:rPr>
    </w:lvl>
    <w:lvl w:ilvl="3" w:tentative="0">
      <w:start w:val="1"/>
      <w:numFmt w:val="decimal"/>
      <w:lvlText w:val="（）"/>
      <w:lvlJc w:val="left"/>
      <w:rPr>
        <w:rFonts w:cs="Times New Roman"/>
        <w:u w:val="none"/>
      </w:rPr>
    </w:lvl>
    <w:lvl w:ilvl="4" w:tentative="0">
      <w:start w:val="1"/>
      <w:numFmt w:val="decimal"/>
      <w:lvlText w:val="（）"/>
      <w:lvlJc w:val="left"/>
      <w:rPr>
        <w:rFonts w:cs="Times New Roman"/>
        <w:u w:val="none"/>
      </w:rPr>
    </w:lvl>
    <w:lvl w:ilvl="5" w:tentative="0">
      <w:start w:val="1"/>
      <w:numFmt w:val="decimal"/>
      <w:lvlText w:val="（）"/>
      <w:lvlJc w:val="left"/>
      <w:rPr>
        <w:rFonts w:cs="Times New Roman"/>
        <w:u w:val="none"/>
      </w:rPr>
    </w:lvl>
    <w:lvl w:ilvl="6" w:tentative="0">
      <w:start w:val="1"/>
      <w:numFmt w:val="decimal"/>
      <w:lvlText w:val="（）"/>
      <w:lvlJc w:val="left"/>
      <w:rPr>
        <w:rFonts w:cs="Times New Roman"/>
        <w:u w:val="none"/>
      </w:rPr>
    </w:lvl>
    <w:lvl w:ilvl="7" w:tentative="0">
      <w:start w:val="1"/>
      <w:numFmt w:val="decimal"/>
      <w:lvlText w:val="（）"/>
      <w:lvlJc w:val="left"/>
      <w:rPr>
        <w:rFonts w:cs="Times New Roman"/>
        <w:u w:val="none"/>
      </w:rPr>
    </w:lvl>
    <w:lvl w:ilvl="8" w:tentative="0">
      <w:start w:val="1"/>
      <w:numFmt w:val="decimal"/>
      <w:lvlText w:val="（）"/>
      <w:lvlJc w:val="left"/>
      <w:rPr>
        <w:rFonts w:cs="Times New Roman"/>
        <w:u w:val="none"/>
      </w:rPr>
    </w:lvl>
  </w:abstractNum>
  <w:abstractNum w:abstractNumId="2">
    <w:nsid w:val="4B61BE9C"/>
    <w:multiLevelType w:val="singleLevel"/>
    <w:tmpl w:val="4B61BE9C"/>
    <w:lvl w:ilvl="0" w:tentative="0">
      <w:start w:val="1"/>
      <w:numFmt w:val="decimal"/>
      <w:lvlText w:val="%1."/>
      <w:lvlJc w:val="left"/>
      <w:pPr>
        <w:ind w:left="425" w:hanging="425"/>
      </w:pPr>
      <w:rPr>
        <w:rFonts w:hint="default"/>
      </w:rPr>
    </w:lvl>
  </w:abstractNum>
  <w:abstractNum w:abstractNumId="3">
    <w:nsid w:val="5788A461"/>
    <w:multiLevelType w:val="singleLevel"/>
    <w:tmpl w:val="5788A461"/>
    <w:lvl w:ilvl="0" w:tentative="0">
      <w:start w:val="1"/>
      <w:numFmt w:val="chineseCounting"/>
      <w:suff w:val="nothing"/>
      <w:lvlText w:val="%1、"/>
      <w:lvlJc w:val="left"/>
      <w:rPr>
        <w:rFonts w:cs="Times New Roman"/>
      </w:rPr>
    </w:lvl>
  </w:abstractNum>
  <w:abstractNum w:abstractNumId="4">
    <w:nsid w:val="578C7A4A"/>
    <w:multiLevelType w:val="singleLevel"/>
    <w:tmpl w:val="578C7A4A"/>
    <w:lvl w:ilvl="0" w:tentative="0">
      <w:start w:val="1"/>
      <w:numFmt w:val="decimal"/>
      <w:suff w:val="nothing"/>
      <w:lvlText w:val="%1."/>
      <w:lvlJc w:val="left"/>
      <w:rPr>
        <w:rFonts w:cs="Times New Roman"/>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720"/>
  <w:drawingGridHorizontalSpacing w:val="120"/>
  <w:drawingGridVerticalSpacing w:val="120"/>
  <w:doNotUseMarginsForDrawingGridOrigin w:val="1"/>
  <w:drawingGridHorizontalOrigin w:val="1800"/>
  <w:drawingGridVerticalOrigin w:val="1440"/>
  <w:doNotShadeFormData w:val="1"/>
  <w:characterSpacingControl w:val="doNotCompress"/>
  <w:noLineBreaksAfter w:lang="zh-CN" w:val="([{·‘“〈《「『【〔〖（．［｛￡￥"/>
  <w:noLineBreaksBefore w:lang="zh-CN" w:val="!),.:;?]}¨·ˇˉ―‖’”…∶、。〃々〉》」』】〕〗！＂＇），．：；？］｀｜｝～￠"/>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542"/>
    <w:rsid w:val="000A776E"/>
    <w:rsid w:val="00162584"/>
    <w:rsid w:val="001928A6"/>
    <w:rsid w:val="001944B9"/>
    <w:rsid w:val="001B3426"/>
    <w:rsid w:val="00203299"/>
    <w:rsid w:val="002B48F1"/>
    <w:rsid w:val="00365148"/>
    <w:rsid w:val="003A59F1"/>
    <w:rsid w:val="003E5EB5"/>
    <w:rsid w:val="00414AA8"/>
    <w:rsid w:val="00415241"/>
    <w:rsid w:val="00425D5A"/>
    <w:rsid w:val="00476602"/>
    <w:rsid w:val="004900B7"/>
    <w:rsid w:val="004D3AC2"/>
    <w:rsid w:val="005A46E2"/>
    <w:rsid w:val="005D3299"/>
    <w:rsid w:val="005E7B07"/>
    <w:rsid w:val="005F4F5F"/>
    <w:rsid w:val="0069393D"/>
    <w:rsid w:val="006D6AFF"/>
    <w:rsid w:val="006D7CAD"/>
    <w:rsid w:val="00717542"/>
    <w:rsid w:val="00735D72"/>
    <w:rsid w:val="00773FBA"/>
    <w:rsid w:val="0078584A"/>
    <w:rsid w:val="007C533F"/>
    <w:rsid w:val="007F58DD"/>
    <w:rsid w:val="00825535"/>
    <w:rsid w:val="008C7132"/>
    <w:rsid w:val="009352AD"/>
    <w:rsid w:val="009726F5"/>
    <w:rsid w:val="009C5DEB"/>
    <w:rsid w:val="00A0525C"/>
    <w:rsid w:val="00A23AC0"/>
    <w:rsid w:val="00A304CD"/>
    <w:rsid w:val="00A478C9"/>
    <w:rsid w:val="00AA1380"/>
    <w:rsid w:val="00B6445D"/>
    <w:rsid w:val="00B97E94"/>
    <w:rsid w:val="00BD41DA"/>
    <w:rsid w:val="00BF4A0B"/>
    <w:rsid w:val="00CA4B5B"/>
    <w:rsid w:val="00CE4103"/>
    <w:rsid w:val="00D704C9"/>
    <w:rsid w:val="00DA1DD1"/>
    <w:rsid w:val="00E8475B"/>
    <w:rsid w:val="00F234A0"/>
    <w:rsid w:val="00F23D84"/>
    <w:rsid w:val="00F54BEE"/>
    <w:rsid w:val="00F9387B"/>
    <w:rsid w:val="20BC100F"/>
    <w:rsid w:val="33263C8B"/>
    <w:rsid w:val="579F6BBB"/>
    <w:rsid w:val="58C245CC"/>
    <w:rsid w:val="5B2D163C"/>
    <w:rsid w:val="66A17274"/>
    <w:rsid w:val="773365C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14:defaultImageDpi w14:val="96"/>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qFormat="1" w:uiPriority="99" w:name="index 2"/>
    <w:lsdException w:qFormat="1" w:uiPriority="99" w:name="index 3"/>
    <w:lsdException w:qFormat="1" w:uiPriority="99" w:name="index 4"/>
    <w:lsdException w:qFormat="1" w:uiPriority="99" w:name="index 5"/>
    <w:lsdException w:qFormat="1" w:uiPriority="99" w:name="index 6"/>
    <w:lsdException w:qFormat="1" w:uiPriority="99" w:name="index 7"/>
    <w:lsdException w:qFormat="1" w:uiPriority="99" w:name="index 8"/>
    <w:lsdException w:qFormat="1" w:uiPriority="99" w:name="index 9"/>
    <w:lsdException w:qFormat="1" w:uiPriority="39" w:name="toc 1"/>
    <w:lsdException w:qFormat="1"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qFormat="1" w:uiPriority="99" w:name="Normal Indent"/>
    <w:lsdException w:qFormat="1" w:uiPriority="99" w:name="footnote text"/>
    <w:lsdException w:qFormat="1" w:uiPriority="99" w:name="annotation text"/>
    <w:lsdException w:qFormat="1" w:unhideWhenUsed="0" w:uiPriority="99" w:semiHidden="0" w:name="header"/>
    <w:lsdException w:qFormat="1" w:unhideWhenUsed="0" w:uiPriority="99" w:semiHidden="0" w:name="footer"/>
    <w:lsdException w:qFormat="1" w:uiPriority="99" w:name="index heading"/>
    <w:lsdException w:qFormat="1" w:uiPriority="35" w:name="caption"/>
    <w:lsdException w:qFormat="1" w:uiPriority="99" w:name="table of figures"/>
    <w:lsdException w:qFormat="1" w:uiPriority="99" w:name="envelope address"/>
    <w:lsdException w:qFormat="1" w:uiPriority="99" w:name="envelope return"/>
    <w:lsdException w:qFormat="1" w:uiPriority="99" w:name="footnote reference"/>
    <w:lsdException w:qFormat="1" w:uiPriority="99" w:name="annotation reference"/>
    <w:lsdException w:qFormat="1" w:uiPriority="99" w:name="line number"/>
    <w:lsdException w:qFormat="1" w:uiPriority="99" w:name="page number"/>
    <w:lsdException w:qFormat="1" w:uiPriority="99" w:name="endnote reference"/>
    <w:lsdException w:qFormat="1" w:uiPriority="99" w:name="endnote text"/>
    <w:lsdException w:qFormat="1" w:unhideWhenUsed="0" w:uiPriority="99" w:semiHidden="0" w:name="table of authorities"/>
    <w:lsdException w:qFormat="1" w:uiPriority="99" w:name="macro"/>
    <w:lsdException w:qFormat="1" w:uiPriority="99" w:name="toa heading"/>
    <w:lsdException w:qFormat="1" w:unhideWhenUsed="0" w:uiPriority="99" w:semiHidden="0" w:name="List"/>
    <w:lsdException w:qFormat="1" w:unhideWhenUsed="0" w:uiPriority="99" w:semiHidden="0" w:name="List Bullet"/>
    <w:lsdException w:qFormat="1" w:uiPriority="99" w:name="List Number"/>
    <w:lsdException w:qFormat="1" w:uiPriority="99" w:name="List 2"/>
    <w:lsdException w:qFormat="1" w:uiPriority="99" w:name="List 3"/>
    <w:lsdException w:qFormat="1" w:uiPriority="99" w:name="List 4"/>
    <w:lsdException w:qFormat="1" w:uiPriority="99" w:name="List 5"/>
    <w:lsdException w:qFormat="1" w:uiPriority="99" w:name="List Bullet 2"/>
    <w:lsdException w:qFormat="1" w:uiPriority="99" w:name="List Bullet 3"/>
    <w:lsdException w:qFormat="1" w:uiPriority="99" w:name="List Bullet 4"/>
    <w:lsdException w:qFormat="1" w:uiPriority="99" w:name="List Bullet 5"/>
    <w:lsdException w:qFormat="1" w:uiPriority="99" w:name="List Number 2"/>
    <w:lsdException w:qFormat="1" w:uiPriority="99" w:name="List Number 3"/>
    <w:lsdException w:qFormat="1" w:uiPriority="99" w:name="List Number 4"/>
    <w:lsdException w:qFormat="1" w:uiPriority="99" w:name="List Number 5"/>
    <w:lsdException w:qFormat="1" w:unhideWhenUsed="0" w:uiPriority="10" w:semiHidden="0" w:name="Title"/>
    <w:lsdException w:qFormat="1" w:uiPriority="99" w:name="Closing"/>
    <w:lsdException w:qFormat="1" w:uiPriority="99" w:name="Signature"/>
    <w:lsdException w:uiPriority="1" w:name="Default Paragraph Font"/>
    <w:lsdException w:qFormat="1" w:uiPriority="1" w:semiHidden="0" w:name="Body Text"/>
    <w:lsdException w:qFormat="1" w:uiPriority="99" w:name="Body Text Indent"/>
    <w:lsdException w:qFormat="1" w:uiPriority="99"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iPriority="99" w:name="Message Header"/>
    <w:lsdException w:qFormat="1" w:unhideWhenUsed="0" w:uiPriority="11" w:semiHidden="0" w:name="Subtitle"/>
    <w:lsdException w:qFormat="1" w:uiPriority="99" w:name="Salutation"/>
    <w:lsdException w:qFormat="1" w:uiPriority="99" w:name="Date"/>
    <w:lsdException w:qFormat="1" w:uiPriority="99" w:name="Body Text First Indent"/>
    <w:lsdException w:qFormat="1" w:uiPriority="99" w:name="Body Text First Indent 2"/>
    <w:lsdException w:qFormat="1"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qFormat="1"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name="Plain Text"/>
    <w:lsdException w:qFormat="1" w:uiPriority="99" w:name="E-mail Signature"/>
    <w:lsdException w:qFormat="1" w:uiPriority="99" w:name="Normal (Web)"/>
    <w:lsdException w:qFormat="1" w:uiPriority="99" w:name="HTML Acronym"/>
    <w:lsdException w:qFormat="1"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qFormat="1" w:uiPriority="99" w:name="annotation subject"/>
    <w:lsdException w:qFormat="1" w:uiPriority="99" w:name="Table Simple 1"/>
    <w:lsdException w:qFormat="1" w:uiPriority="99" w:name="Table Simple 2"/>
    <w:lsdException w:qFormat="1" w:uiPriority="99" w:name="Table Simple 3"/>
    <w:lsdException w:qFormat="1" w:uiPriority="99" w:name="Table Classic 1"/>
    <w:lsdException w:qFormat="1" w:uiPriority="99" w:name="Table Classic 2"/>
    <w:lsdException w:qFormat="1" w:uiPriority="99" w:name="Table Classic 3"/>
    <w:lsdException w:qFormat="1" w:uiPriority="99" w:name="Table Classic 4"/>
    <w:lsdException w:qFormat="1" w:uiPriority="99" w:name="Table Colorful 1"/>
    <w:lsdException w:qFormat="1" w:uiPriority="99" w:name="Table Colorful 2"/>
    <w:lsdException w:qFormat="1" w:uiPriority="99" w:name="Table Colorful 3"/>
    <w:lsdException w:qFormat="1" w:uiPriority="99" w:name="Table Columns 1"/>
    <w:lsdException w:qFormat="1" w:uiPriority="99" w:name="Table Columns 2"/>
    <w:lsdException w:qFormat="1" w:uiPriority="99" w:name="Table Columns 3"/>
    <w:lsdException w:qFormat="1" w:uiPriority="99" w:name="Table Columns 4"/>
    <w:lsdException w:qFormat="1" w:uiPriority="99" w:name="Table Columns 5"/>
    <w:lsdException w:qFormat="1" w:uiPriority="99" w:name="Table Grid 1"/>
    <w:lsdException w:qFormat="1" w:uiPriority="99" w:name="Table Grid 2"/>
    <w:lsdException w:qFormat="1" w:uiPriority="99" w:name="Table Grid 3"/>
    <w:lsdException w:qFormat="1" w:uiPriority="99" w:name="Table Grid 4"/>
    <w:lsdException w:qFormat="1" w:uiPriority="99" w:name="Table Grid 5"/>
    <w:lsdException w:qFormat="1" w:uiPriority="99" w:name="Table Grid 6"/>
    <w:lsdException w:qFormat="1" w:uiPriority="99" w:name="Table Grid 7"/>
    <w:lsdException w:qFormat="1" w:uiPriority="99" w:name="Table Grid 8"/>
    <w:lsdException w:qFormat="1" w:uiPriority="99" w:name="Table List 1"/>
    <w:lsdException w:qFormat="1" w:uiPriority="99" w:name="Table List 2"/>
    <w:lsdException w:qFormat="1" w:uiPriority="99" w:name="Table List 3"/>
    <w:lsdException w:qFormat="1" w:uiPriority="99" w:name="Table List 4"/>
    <w:lsdException w:qFormat="1" w:uiPriority="99" w:name="Table List 5"/>
    <w:lsdException w:qFormat="1" w:uiPriority="99" w:name="Table List 6"/>
    <w:lsdException w:qFormat="1" w:uiPriority="99" w:name="Table List 7"/>
    <w:lsdException w:qFormat="1" w:uiPriority="99" w:name="Table List 8"/>
    <w:lsdException w:qFormat="1" w:uiPriority="99" w:name="Table 3D effects 1"/>
    <w:lsdException w:qFormat="1" w:uiPriority="99" w:name="Table 3D effects 2"/>
    <w:lsdException w:qFormat="1" w:uiPriority="99" w:name="Table 3D effects 3"/>
    <w:lsdException w:qFormat="1" w:uiPriority="99" w:name="Table Contemporary"/>
    <w:lsdException w:qFormat="1" w:uiPriority="99" w:name="Table Elegant"/>
    <w:lsdException w:qFormat="1" w:uiPriority="99" w:name="Table Professional"/>
    <w:lsdException w:qFormat="1" w:uiPriority="99" w:name="Table Subtle 1"/>
    <w:lsdException w:qFormat="1" w:uiPriority="99" w:name="Table Subtle 2"/>
    <w:lsdException w:qFormat="1" w:uiPriority="99" w:name="Table Web 1"/>
    <w:lsdException w:qFormat="1" w:uiPriority="99" w:name="Table Web 2"/>
    <w:lsdException w:qFormat="1" w:uiPriority="99" w:name="Table Web 3"/>
    <w:lsdException w:qFormat="1" w:unhideWhenUsed="0" w:uiPriority="99" w:semiHidden="0" w:name="Balloon Text"/>
    <w:lsdException w:qFormat="1" w:unhideWhenUsed="0" w:uiPriority="0" w:semiHidden="0" w:name="Table Grid"/>
    <w:lsdException w:qFormat="1"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adjustRightInd w:val="0"/>
    </w:pPr>
    <w:rPr>
      <w:rFonts w:ascii="宋体" w:hAnsi="Times New Roman" w:eastAsia="宋体" w:cs="Times New Roman"/>
      <w:sz w:val="22"/>
      <w:szCs w:val="22"/>
      <w:lang w:val="en-US" w:eastAsia="zh-CN" w:bidi="ar-SA"/>
    </w:rPr>
  </w:style>
  <w:style w:type="paragraph" w:styleId="2">
    <w:name w:val="heading 2"/>
    <w:basedOn w:val="1"/>
    <w:next w:val="1"/>
    <w:link w:val="9"/>
    <w:qFormat/>
    <w:uiPriority w:val="9"/>
    <w:pPr>
      <w:keepNext/>
      <w:keepLines/>
      <w:spacing w:before="260" w:after="260" w:line="416" w:lineRule="auto"/>
      <w:outlineLvl w:val="1"/>
    </w:pPr>
    <w:rPr>
      <w:rFonts w:ascii="Cambria" w:hAnsi="Cambria"/>
      <w:b/>
      <w:sz w:val="32"/>
      <w:szCs w:val="24"/>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0"/>
    <w:unhideWhenUsed/>
    <w:qFormat/>
    <w:uiPriority w:val="1"/>
    <w:pPr>
      <w:spacing w:before="161"/>
      <w:ind w:left="100"/>
    </w:pPr>
    <w:rPr>
      <w:sz w:val="24"/>
      <w:szCs w:val="24"/>
    </w:rPr>
  </w:style>
  <w:style w:type="paragraph" w:styleId="4">
    <w:name w:val="footer"/>
    <w:basedOn w:val="1"/>
    <w:link w:val="15"/>
    <w:qFormat/>
    <w:uiPriority w:val="99"/>
    <w:pPr>
      <w:tabs>
        <w:tab w:val="center" w:pos="4153"/>
        <w:tab w:val="right" w:pos="8306"/>
      </w:tabs>
      <w:snapToGrid w:val="0"/>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标题 2 字符"/>
    <w:basedOn w:val="8"/>
    <w:link w:val="2"/>
    <w:unhideWhenUsed/>
    <w:qFormat/>
    <w:locked/>
    <w:uiPriority w:val="9"/>
    <w:rPr>
      <w:rFonts w:ascii="Cambria" w:hAnsi="Cambria" w:cs="Times New Roman"/>
      <w:b/>
      <w:sz w:val="32"/>
    </w:rPr>
  </w:style>
  <w:style w:type="character" w:customStyle="1" w:styleId="10">
    <w:name w:val="正文文本 字符"/>
    <w:basedOn w:val="8"/>
    <w:link w:val="3"/>
    <w:unhideWhenUsed/>
    <w:qFormat/>
    <w:locked/>
    <w:uiPriority w:val="99"/>
    <w:rPr>
      <w:rFonts w:ascii="宋体" w:cs="Times New Roman"/>
      <w:sz w:val="22"/>
    </w:rPr>
  </w:style>
  <w:style w:type="character" w:customStyle="1" w:styleId="11">
    <w:name w:val="正文文本 字符1"/>
    <w:basedOn w:val="8"/>
    <w:semiHidden/>
    <w:qFormat/>
    <w:uiPriority w:val="99"/>
    <w:rPr>
      <w:rFonts w:ascii="宋体" w:cs="Times New Roman"/>
      <w:kern w:val="0"/>
      <w:sz w:val="22"/>
    </w:rPr>
  </w:style>
  <w:style w:type="paragraph" w:styleId="12">
    <w:name w:val="List Paragraph"/>
    <w:basedOn w:val="1"/>
    <w:qFormat/>
    <w:uiPriority w:val="1"/>
    <w:rPr>
      <w:rFonts w:ascii="Times New Roman" w:eastAsia="等线"/>
      <w:sz w:val="24"/>
      <w:szCs w:val="24"/>
    </w:rPr>
  </w:style>
  <w:style w:type="paragraph" w:customStyle="1" w:styleId="13">
    <w:name w:val="Table Paragraph"/>
    <w:basedOn w:val="1"/>
    <w:unhideWhenUsed/>
    <w:qFormat/>
    <w:uiPriority w:val="1"/>
    <w:pPr>
      <w:spacing w:before="80"/>
      <w:ind w:left="562" w:right="555"/>
      <w:jc w:val="center"/>
    </w:pPr>
    <w:rPr>
      <w:sz w:val="24"/>
      <w:szCs w:val="24"/>
    </w:rPr>
  </w:style>
  <w:style w:type="character" w:customStyle="1" w:styleId="14">
    <w:name w:val="页眉 字符"/>
    <w:basedOn w:val="8"/>
    <w:link w:val="5"/>
    <w:qFormat/>
    <w:locked/>
    <w:uiPriority w:val="99"/>
    <w:rPr>
      <w:rFonts w:ascii="宋体" w:cs="Times New Roman"/>
      <w:kern w:val="0"/>
      <w:sz w:val="18"/>
      <w:szCs w:val="18"/>
    </w:rPr>
  </w:style>
  <w:style w:type="character" w:customStyle="1" w:styleId="15">
    <w:name w:val="页脚 字符"/>
    <w:basedOn w:val="8"/>
    <w:link w:val="4"/>
    <w:qFormat/>
    <w:locked/>
    <w:uiPriority w:val="99"/>
    <w:rPr>
      <w:rFonts w:ascii="宋体" w:cs="Times New Roman"/>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陕西建工第三建设集团有限公司</Company>
  <Pages>11</Pages>
  <Words>693</Words>
  <Characters>3952</Characters>
  <Lines>32</Lines>
  <Paragraphs>9</Paragraphs>
  <TotalTime>36</TotalTime>
  <ScaleCrop>false</ScaleCrop>
  <LinksUpToDate>false</LinksUpToDate>
  <CharactersWithSpaces>4636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2020-07-12T01:53:00Z</dcterms:created>
  <dc:creator>TM</dc:creator>
  <cp:lastModifiedBy>Administrator</cp:lastModifiedBy>
  <dcterms:modified xsi:type="dcterms:W3CDTF">2020-08-03T12:35:06Z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